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w:t>
      </w:r>
      <w:r>
        <w:t xml:space="preserve"> </w:t>
      </w:r>
      <w:r>
        <w:t xml:space="preserve">Office</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t xml:space="preserve">Office of the Honorable Politician — Municipal Affairs Division</w:t>
      </w:r>
    </w:p>
    <w:p>
      <w:pPr>
        <w:pStyle w:val="BodyText"/>
      </w:pPr>
      <w:r>
        <w:t xml:space="preserve">Kingdom of Saudi Arabia — Riyadh, Al Olaya District</w:t>
      </w:r>
    </w:p>
    <w:p>
      <w:pPr>
        <w:pStyle w:val="BodyText"/>
      </w:pPr>
      <w:r>
        <w:t xml:space="preserve">PO No. KSA-RYD-2025-04782</w:t>
      </w:r>
      <w:r>
        <w:t xml:space="preserve"> </w:t>
      </w:r>
      <w:r>
        <w:t xml:space="preserve">CONFIDENTIAL</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Date of Issue:</w:t>
            </w:r>
          </w:p>
        </w:tc>
        <w:tc>
          <w:tcPr/>
          <w:p>
            <w:pPr>
              <w:pStyle w:val="Compact"/>
              <w:jc w:val="left"/>
            </w:pPr>
            <w:r>
              <w:t xml:space="preserve">14 June 2025 (18 Muharram 1447 AH)</w:t>
            </w:r>
          </w:p>
        </w:tc>
      </w:tr>
      <w:tr>
        <w:tc>
          <w:tcPr/>
          <w:p>
            <w:pPr>
              <w:pStyle w:val="Compact"/>
              <w:jc w:val="left"/>
            </w:pPr>
            <w:r>
              <w:t xml:space="preserve">Order Reference:</w:t>
            </w:r>
          </w:p>
        </w:tc>
        <w:tc>
          <w:tcPr/>
          <w:p>
            <w:pPr>
              <w:pStyle w:val="Compact"/>
              <w:jc w:val="left"/>
            </w:pPr>
            <w:r>
              <w:t xml:space="preserve">PO-KSA-RYD-2025-04782</w:t>
            </w:r>
          </w:p>
        </w:tc>
      </w:tr>
      <w:tr>
        <w:tc>
          <w:tcPr/>
          <w:p>
            <w:pPr>
              <w:pStyle w:val="Compact"/>
              <w:jc w:val="left"/>
            </w:pPr>
            <w:r>
              <w:t xml:space="preserve">Valid Until:</w:t>
            </w:r>
          </w:p>
        </w:tc>
        <w:tc>
          <w:tcPr/>
          <w:p>
            <w:pPr>
              <w:pStyle w:val="Compact"/>
              <w:jc w:val="left"/>
            </w:pPr>
            <w:r>
              <w:t xml:space="preserve">14 July 2025</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Issued By:</w:t>
            </w:r>
          </w:p>
        </w:tc>
        <w:tc>
          <w:tcPr/>
          <w:p>
            <w:pPr>
              <w:pStyle w:val="Compact"/>
              <w:jc w:val="left"/>
            </w:pPr>
            <w:r>
              <w:t xml:space="preserve">Procurement Office, Politician’s Administrative Secretariat</w:t>
            </w:r>
          </w:p>
        </w:tc>
      </w:tr>
      <w:tr>
        <w:tc>
          <w:tcPr/>
          <w:p>
            <w:pPr>
              <w:pStyle w:val="Compact"/>
              <w:jc w:val="left"/>
            </w:pPr>
            <w:r>
              <w:t xml:space="preserve">Location:</w:t>
            </w:r>
          </w:p>
        </w:tc>
        <w:tc>
          <w:tcPr/>
          <w:p>
            <w:pPr>
              <w:pStyle w:val="Compact"/>
              <w:jc w:val="left"/>
            </w:pPr>
            <w:r>
              <w:t xml:space="preserve">Riyadh, Saudi Arabia — King Fahd Road, Al Olaya</w:t>
            </w:r>
          </w:p>
        </w:tc>
      </w:tr>
      <w:tr>
        <w:tc>
          <w:tcPr/>
          <w:p>
            <w:pPr>
              <w:pStyle w:val="Compact"/>
              <w:jc w:val="left"/>
            </w:pPr>
            <w:r>
              <w:t xml:space="preserve">Contact:</w:t>
            </w:r>
          </w:p>
        </w:tc>
        <w:tc>
          <w:tcPr/>
          <w:p>
            <w:pPr>
              <w:pStyle w:val="Compact"/>
              <w:jc w:val="left"/>
            </w:pPr>
            <w:r>
              <w:t xml:space="preserve">procurement@politician-office.gov.sa</w:t>
            </w:r>
          </w:p>
        </w:tc>
      </w:tr>
    </w:tbl>
    <w:p>
      <w:pPr>
        <w:pStyle w:val="BodyText"/>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 / Name</w:t>
            </w:r>
          </w:p>
        </w:tc>
        <w:tc>
          <w:tcPr/>
          <w:p>
            <w:pPr>
              <w:pStyle w:val="Compact"/>
              <w:jc w:val="left"/>
            </w:pPr>
            <w:r>
              <w:t xml:space="preserve">Address &amp; Contact</w:t>
            </w:r>
          </w:p>
        </w:tc>
      </w:tr>
      <w:tr>
        <w:tc>
          <w:tcPr/>
          <w:p>
            <w:pPr>
              <w:pStyle w:val="Compact"/>
              <w:jc w:val="left"/>
            </w:pPr>
            <w:r>
              <w:rPr>
                <w:bCs/>
                <w:b/>
              </w:rPr>
              <w:t xml:space="preserve">Buyer (Purchasing Authority)</w:t>
            </w:r>
          </w:p>
        </w:tc>
        <w:tc>
          <w:tcPr/>
          <w:p>
            <w:pPr>
              <w:pStyle w:val="Compact"/>
              <w:jc w:val="left"/>
            </w:pPr>
            <w:r>
              <w:t xml:space="preserve">Administrative Secretariat of the Honorable Politician, Municipal Governance Portfolio</w:t>
            </w:r>
          </w:p>
        </w:tc>
        <w:tc>
          <w:tcPr/>
          <w:p>
            <w:pPr>
              <w:pStyle w:val="Compact"/>
              <w:jc w:val="left"/>
            </w:pPr>
            <w:r>
              <w:t xml:space="preserve">Government Quarter, King Fahd Road, Al Olaya District, Riyadh 12211, Kingdom of Saudi Arabia. Tel: +966-11-456-7890</w:t>
            </w:r>
          </w:p>
        </w:tc>
      </w:tr>
      <w:tr>
        <w:tc>
          <w:tcPr/>
          <w:p>
            <w:pPr>
              <w:pStyle w:val="Compact"/>
              <w:jc w:val="left"/>
            </w:pPr>
            <w:r>
              <w:rPr>
                <w:bCs/>
                <w:b/>
              </w:rPr>
              <w:t xml:space="preserve">Supplier (Vendor)</w:t>
            </w:r>
          </w:p>
        </w:tc>
        <w:tc>
          <w:tcPr/>
          <w:p>
            <w:pPr>
              <w:pStyle w:val="Compact"/>
              <w:jc w:val="left"/>
            </w:pPr>
            <w:r>
              <w:t xml:space="preserve">Al-Nakheel Integrated Services &amp; Consulting Co. Ltd.</w:t>
            </w:r>
          </w:p>
        </w:tc>
        <w:tc>
          <w:tcPr/>
          <w:p>
            <w:pPr>
              <w:pStyle w:val="Compact"/>
              <w:jc w:val="left"/>
            </w:pPr>
            <w:r>
              <w:t xml:space="preserve">Office 412, Kingdom Tower, King Abdullah Financial District (KAFD), Riyadh 13519, Kingdom of Saudi Arabia. CR No. 1010XXXXXX. VAT No. 3101XXXXXX</w:t>
            </w:r>
          </w:p>
        </w:tc>
      </w:tr>
    </w:tbl>
    <w:p>
      <w:pPr>
        <w:pStyle w:val="BodyText"/>
      </w:pPr>
      <w:r>
        <w:t xml:space="preserve">2. DESCRIPTION OF GOODS AND SERVICES</w:t>
      </w:r>
    </w:p>
    <w:p>
      <w:pPr>
        <w:pStyle w:val="BodyText"/>
      </w:pPr>
      <w:r>
        <w:t xml:space="preserve">This Purchase Order is issued by the Administrative Secretariat of the Honorable Politician responsible for municipal governance in Riyadh, Saudi Arabia. The following goods and professional services are hereby ordered to support the Politician’s official duties, public engagement programs, and administrative operations within the Riyadh metropolitan area during the fiscal year 2025–2026.</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Item / Service Description</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Total (SAR)</w:t>
            </w:r>
          </w:p>
        </w:tc>
        <w:tc>
          <w:tcPr/>
          <w:p>
            <w:pPr>
              <w:pStyle w:val="Compact"/>
              <w:jc w:val="left"/>
            </w:pPr>
            <w:r>
              <w:t xml:space="preserve">Delivery / Completion</w:t>
            </w:r>
          </w:p>
        </w:tc>
      </w:tr>
      <w:tr>
        <w:tc>
          <w:tcPr/>
          <w:p>
            <w:pPr>
              <w:pStyle w:val="Compact"/>
              <w:jc w:val="left"/>
            </w:pPr>
            <w:r>
              <w:t xml:space="preserve">1</w:t>
            </w:r>
          </w:p>
        </w:tc>
        <w:tc>
          <w:tcPr/>
          <w:p>
            <w:pPr>
              <w:pStyle w:val="Compact"/>
              <w:jc w:val="left"/>
            </w:pPr>
            <w:r>
              <w:t xml:space="preserve">Professional advisory and policy-research services for the Politician’s municipal reform initiative in Riyadh, including drafting of governance white papers and stakeholder analysis reports.</w:t>
            </w:r>
          </w:p>
        </w:tc>
        <w:tc>
          <w:tcPr/>
          <w:p>
            <w:pPr>
              <w:pStyle w:val="Compact"/>
              <w:jc w:val="left"/>
            </w:pPr>
            <w:r>
              <w:t xml:space="preserve">1 (retainer)</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Monthly deliverables, starting 1 July 2025</w:t>
            </w:r>
          </w:p>
        </w:tc>
      </w:tr>
      <w:tr>
        <w:tc>
          <w:tcPr/>
          <w:p>
            <w:pPr>
              <w:pStyle w:val="Compact"/>
              <w:jc w:val="left"/>
            </w:pPr>
            <w:r>
              <w:t xml:space="preserve">2</w:t>
            </w:r>
          </w:p>
        </w:tc>
        <w:tc>
          <w:tcPr/>
          <w:p>
            <w:pPr>
              <w:pStyle w:val="Compact"/>
              <w:jc w:val="left"/>
            </w:pPr>
            <w:r>
              <w:t xml:space="preserve">Design, printing, and distribution of official campaign and public-engagement materials (bilingual Arabic/English) for the Politician’s community outreach program across Riyadh districts (Al Olaya, Al Malqa, Al Yasmin, Al Sulaymiyah).</w:t>
            </w:r>
          </w:p>
        </w:tc>
        <w:tc>
          <w:tcPr/>
          <w:p>
            <w:pPr>
              <w:pStyle w:val="Compact"/>
              <w:jc w:val="left"/>
            </w:pPr>
            <w:r>
              <w:t xml:space="preserve">50,000 units</w:t>
            </w:r>
          </w:p>
        </w:tc>
        <w:tc>
          <w:tcPr/>
          <w:p>
            <w:pPr>
              <w:pStyle w:val="Compact"/>
              <w:jc w:val="left"/>
            </w:pPr>
            <w:r>
              <w:t xml:space="preserve">2.50</w:t>
            </w:r>
          </w:p>
        </w:tc>
        <w:tc>
          <w:tcPr/>
          <w:p>
            <w:pPr>
              <w:pStyle w:val="Compact"/>
              <w:jc w:val="left"/>
            </w:pPr>
            <w:r>
              <w:t xml:space="preserve">125,000.00</w:t>
            </w:r>
          </w:p>
        </w:tc>
        <w:tc>
          <w:tcPr/>
          <w:p>
            <w:pPr>
              <w:pStyle w:val="Compact"/>
              <w:jc w:val="left"/>
            </w:pPr>
            <w:r>
              <w:t xml:space="preserve">Within 21 days of PO acceptance</w:t>
            </w:r>
          </w:p>
        </w:tc>
      </w:tr>
      <w:tr>
        <w:tc>
          <w:tcPr/>
          <w:p>
            <w:pPr>
              <w:pStyle w:val="Compact"/>
              <w:jc w:val="left"/>
            </w:pPr>
            <w:r>
              <w:t xml:space="preserve">3</w:t>
            </w:r>
          </w:p>
        </w:tc>
        <w:tc>
          <w:tcPr/>
          <w:p>
            <w:pPr>
              <w:pStyle w:val="Compact"/>
              <w:jc w:val="left"/>
            </w:pPr>
            <w:r>
              <w:t xml:space="preserve">Event management and logistics for three (3) public town-hall meetings hosted by the Politician in Riyadh, including venue setup, AV equipment, security coordination, and catering for 500 attendees per event.</w:t>
            </w:r>
          </w:p>
        </w:tc>
        <w:tc>
          <w:tcPr/>
          <w:p>
            <w:pPr>
              <w:pStyle w:val="Compact"/>
              <w:jc w:val="left"/>
            </w:pPr>
            <w:r>
              <w:t xml:space="preserve">3 events</w:t>
            </w:r>
          </w:p>
        </w:tc>
        <w:tc>
          <w:tcPr/>
          <w:p>
            <w:pPr>
              <w:pStyle w:val="Compact"/>
              <w:jc w:val="left"/>
            </w:pPr>
            <w:r>
              <w:t xml:space="preserve">95,000.00</w:t>
            </w:r>
          </w:p>
        </w:tc>
        <w:tc>
          <w:tcPr/>
          <w:p>
            <w:pPr>
              <w:pStyle w:val="Compact"/>
              <w:jc w:val="left"/>
            </w:pPr>
            <w:r>
              <w:t xml:space="preserve">285,000.00</w:t>
            </w:r>
          </w:p>
        </w:tc>
        <w:tc>
          <w:tcPr/>
          <w:p>
            <w:pPr>
              <w:pStyle w:val="Compact"/>
              <w:jc w:val="left"/>
            </w:pPr>
            <w:r>
              <w:t xml:space="preserve">August – October 2025</w:t>
            </w:r>
          </w:p>
        </w:tc>
      </w:tr>
      <w:tr>
        <w:tc>
          <w:tcPr/>
          <w:p>
            <w:pPr>
              <w:pStyle w:val="Compact"/>
              <w:jc w:val="left"/>
            </w:pPr>
            <w:r>
              <w:t xml:space="preserve">4</w:t>
            </w:r>
          </w:p>
        </w:tc>
        <w:tc>
          <w:tcPr/>
          <w:p>
            <w:pPr>
              <w:pStyle w:val="Compact"/>
              <w:jc w:val="left"/>
            </w:pPr>
            <w:r>
              <w:t xml:space="preserve">Supply of 250 premium office furniture sets (ergonomic chairs, standing desks, filing cabinets) for the Politician’s expanded administrative office in the Riyadh Government Quarter.</w:t>
            </w:r>
          </w:p>
        </w:tc>
        <w:tc>
          <w:tcPr/>
          <w:p>
            <w:pPr>
              <w:pStyle w:val="Compact"/>
              <w:jc w:val="left"/>
            </w:pPr>
            <w:r>
              <w:t xml:space="preserve">250 sets</w:t>
            </w:r>
          </w:p>
        </w:tc>
        <w:tc>
          <w:tcPr/>
          <w:p>
            <w:pPr>
              <w:pStyle w:val="Compact"/>
              <w:jc w:val="left"/>
            </w:pPr>
            <w:r>
              <w:t xml:space="preserve">1,200.00</w:t>
            </w:r>
          </w:p>
        </w:tc>
        <w:tc>
          <w:tcPr/>
          <w:p>
            <w:pPr>
              <w:pStyle w:val="Compact"/>
              <w:jc w:val="left"/>
            </w:pPr>
            <w:r>
              <w:t xml:space="preserve">300,000.00</w:t>
            </w:r>
          </w:p>
        </w:tc>
        <w:tc>
          <w:tcPr/>
          <w:p>
            <w:pPr>
              <w:pStyle w:val="Compact"/>
              <w:jc w:val="left"/>
            </w:pPr>
            <w:r>
              <w:t xml:space="preserve">Within 30 days of PO acceptance</w:t>
            </w:r>
          </w:p>
        </w:tc>
      </w:tr>
      <w:tr>
        <w:tc>
          <w:tcPr/>
          <w:p>
            <w:pPr>
              <w:pStyle w:val="Compact"/>
              <w:jc w:val="left"/>
            </w:pPr>
            <w:r>
              <w:t xml:space="preserve">5</w:t>
            </w:r>
          </w:p>
        </w:tc>
        <w:tc>
          <w:tcPr/>
          <w:p>
            <w:pPr>
              <w:pStyle w:val="Compact"/>
              <w:jc w:val="left"/>
            </w:pPr>
            <w:r>
              <w:t xml:space="preserve">Digital platform development and maintenance for the Politician’s official public communication portal, including Arabic-first UI, citizen feedback module, and integration with Riyadh Municipality open-data APIs.</w:t>
            </w:r>
          </w:p>
        </w:tc>
        <w:tc>
          <w:tcPr/>
          <w:p>
            <w:pPr>
              <w:pStyle w:val="Compact"/>
              <w:jc w:val="left"/>
            </w:pPr>
            <w:r>
              <w:t xml:space="preserve">1 (project)</w:t>
            </w:r>
          </w:p>
        </w:tc>
        <w:tc>
          <w:tcPr/>
          <w:p>
            <w:pPr>
              <w:pStyle w:val="Compact"/>
              <w:jc w:val="left"/>
            </w:pPr>
            <w:r>
              <w:t xml:space="preserve">220,000.00</w:t>
            </w:r>
          </w:p>
        </w:tc>
        <w:tc>
          <w:tcPr/>
          <w:p>
            <w:pPr>
              <w:pStyle w:val="Compact"/>
              <w:jc w:val="left"/>
            </w:pPr>
            <w:r>
              <w:t xml:space="preserve">220,000.00</w:t>
            </w:r>
          </w:p>
        </w:tc>
        <w:tc>
          <w:tcPr/>
          <w:p>
            <w:pPr>
              <w:pStyle w:val="Compact"/>
              <w:jc w:val="left"/>
            </w:pPr>
            <w:r>
              <w:t xml:space="preserve">Launch by 15 September 2025</w:t>
            </w:r>
          </w:p>
        </w:tc>
      </w:tr>
      <w:tr>
        <w:tc>
          <w:tcPr/>
          <w:p>
            <w:pPr>
              <w:pStyle w:val="Compact"/>
              <w:jc w:val="left"/>
            </w:pPr>
            <w:r>
              <w:t xml:space="preserve">6</w:t>
            </w:r>
          </w:p>
        </w:tc>
        <w:tc>
          <w:tcPr/>
          <w:p>
            <w:pPr>
              <w:pStyle w:val="Compact"/>
              <w:jc w:val="left"/>
            </w:pPr>
            <w:r>
              <w:t xml:space="preserve">Translation and localization services (Arabic ↔ English) for all official policy documents, press releases, and parliamentary submissions issued by the Politician’s office.</w:t>
            </w:r>
          </w:p>
        </w:tc>
        <w:tc>
          <w:tcPr/>
          <w:p>
            <w:pPr>
              <w:pStyle w:val="Compact"/>
              <w:jc w:val="left"/>
            </w:pPr>
            <w:r>
              <w:t xml:space="preserve">12,000 pages</w:t>
            </w:r>
          </w:p>
        </w:tc>
        <w:tc>
          <w:tcPr/>
          <w:p>
            <w:pPr>
              <w:pStyle w:val="Compact"/>
              <w:jc w:val="left"/>
            </w:pPr>
            <w:r>
              <w:t xml:space="preserve">8.00</w:t>
            </w:r>
          </w:p>
        </w:tc>
        <w:tc>
          <w:tcPr/>
          <w:p>
            <w:pPr>
              <w:pStyle w:val="Compact"/>
              <w:jc w:val="left"/>
            </w:pPr>
            <w:r>
              <w:t xml:space="preserve">96,000.00</w:t>
            </w:r>
          </w:p>
        </w:tc>
        <w:tc>
          <w:tcPr/>
          <w:p>
            <w:pPr>
              <w:pStyle w:val="Compact"/>
              <w:jc w:val="left"/>
            </w:pPr>
            <w:r>
              <w:t xml:space="preserve">Ongoing, monthly billing</w:t>
            </w:r>
          </w:p>
        </w:tc>
      </w:tr>
      <w:tr>
        <w:tc>
          <w:tcPr/>
          <w:p>
            <w:pPr>
              <w:pStyle w:val="Compact"/>
              <w:jc w:val="left"/>
            </w:pPr>
            <w:r>
              <w:t xml:space="preserve">7</w:t>
            </w:r>
          </w:p>
        </w:tc>
        <w:tc>
          <w:tcPr/>
          <w:p>
            <w:pPr>
              <w:pStyle w:val="Compact"/>
              <w:jc w:val="left"/>
            </w:pPr>
            <w:r>
              <w:t xml:space="preserve">Security and protocol consulting for the Politician’s official movements and public appearances within Riyadh, in compliance with Saudi Arabian government security regulations.</w:t>
            </w:r>
          </w:p>
        </w:tc>
        <w:tc>
          <w:tcPr/>
          <w:p>
            <w:pPr>
              <w:pStyle w:val="Compact"/>
              <w:jc w:val="left"/>
            </w:pPr>
            <w:r>
              <w:t xml:space="preserve">1 (annual)</w:t>
            </w:r>
          </w:p>
        </w:tc>
        <w:tc>
          <w:tcPr/>
          <w:p>
            <w:pPr>
              <w:pStyle w:val="Compact"/>
              <w:jc w:val="left"/>
            </w:pPr>
            <w:r>
              <w:t xml:space="preserve">75,000.00</w:t>
            </w:r>
          </w:p>
        </w:tc>
        <w:tc>
          <w:tcPr/>
          <w:p>
            <w:pPr>
              <w:pStyle w:val="Compact"/>
              <w:jc w:val="left"/>
            </w:pPr>
            <w:r>
              <w:t xml:space="preserve">75,000.00</w:t>
            </w:r>
          </w:p>
        </w:tc>
        <w:tc>
          <w:tcPr/>
          <w:p>
            <w:pPr>
              <w:pStyle w:val="Compact"/>
              <w:jc w:val="left"/>
            </w:pPr>
            <w:r>
              <w:t xml:space="preserve">Continuous, 12-month term</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1,286,000.00 SAR</w:t>
            </w:r>
          </w:p>
        </w:tc>
      </w:tr>
      <w:tr>
        <w:tc>
          <w:tcPr/>
          <w:p>
            <w:pPr>
              <w:pStyle w:val="Compact"/>
              <w:jc w:val="left"/>
            </w:pPr>
            <w:r>
              <w:t xml:space="preserve">VAT (15% — Kingdom of Saudi Arabia):</w:t>
            </w:r>
          </w:p>
        </w:tc>
        <w:tc>
          <w:tcPr/>
          <w:p>
            <w:pPr>
              <w:pStyle w:val="Compact"/>
              <w:jc w:val="right"/>
            </w:pPr>
            <w:r>
              <w:t xml:space="preserve">192,900.00 SAR</w:t>
            </w:r>
          </w:p>
        </w:tc>
      </w:tr>
      <w:tr>
        <w:tc>
          <w:tcPr/>
          <w:p>
            <w:pPr>
              <w:pStyle w:val="Compact"/>
              <w:jc w:val="left"/>
            </w:pPr>
            <w:r>
              <w:t xml:space="preserve">GRAND TOTAL:</w:t>
            </w:r>
          </w:p>
        </w:tc>
        <w:tc>
          <w:tcPr/>
          <w:p>
            <w:pPr>
              <w:pStyle w:val="Compact"/>
              <w:jc w:val="right"/>
            </w:pPr>
            <w:r>
              <w:t xml:space="preserve">1,478,900.00 SAR</w:t>
            </w:r>
          </w:p>
        </w:tc>
      </w:tr>
    </w:tbl>
    <w:p>
      <w:pPr>
        <w:pStyle w:val="BodyText"/>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Saudi Arabia, including the Saudi Commercial Transactions Law and the regulations of the Saudi Public Procurement Authority (NAPA).</w:t>
      </w:r>
    </w:p>
    <w:p>
      <w:pPr>
        <w:numPr>
          <w:ilvl w:val="0"/>
          <w:numId w:val="1001"/>
        </w:numPr>
        <w:pStyle w:val="Compact"/>
      </w:pPr>
      <w:r>
        <w:rPr>
          <w:bCs/>
          <w:b/>
        </w:rPr>
        <w:t xml:space="preserve">Payment Terms:</w:t>
      </w:r>
      <w:r>
        <w:t xml:space="preserve"> </w:t>
      </w:r>
      <w:r>
        <w:t xml:space="preserve">Payment shall be made within thirty (30) calendar days of receipt of a valid tax invoice from the Supplier. All payments shall be processed via bank transfer to the Supplier’s designated account in a Saudi Arabian financial institution. The Politician’s Administrative Secretariat reserves the right to withhold payment for any deliverable that does not meet the specifications outlined in this Purchase Order.</w:t>
      </w:r>
    </w:p>
    <w:p>
      <w:pPr>
        <w:numPr>
          <w:ilvl w:val="0"/>
          <w:numId w:val="1001"/>
        </w:numPr>
        <w:pStyle w:val="Compact"/>
      </w:pPr>
      <w:r>
        <w:rPr>
          <w:bCs/>
          <w:b/>
        </w:rPr>
        <w:t xml:space="preserve">Delivery and Performance:</w:t>
      </w:r>
      <w:r>
        <w:t xml:space="preserve"> </w:t>
      </w:r>
      <w:r>
        <w:t xml:space="preserve">All goods shall be delivered to the Politician’s office at King Fahd Road, Al Olaya District, Riyadh, Saudi Arabia. Services shall be rendered in accordance with the timelines specified in Section 2. The Supplier acknowledges that the Politician’s public duties in Riyadh may require schedule adjustments, and both parties agree to negotiate in good faith for any necessary modifications.</w:t>
      </w:r>
    </w:p>
    <w:p>
      <w:pPr>
        <w:numPr>
          <w:ilvl w:val="0"/>
          <w:numId w:val="1001"/>
        </w:numPr>
        <w:pStyle w:val="Compact"/>
      </w:pPr>
      <w:r>
        <w:rPr>
          <w:bCs/>
          <w:b/>
        </w:rPr>
        <w:t xml:space="preserve">Compliance:</w:t>
      </w:r>
      <w:r>
        <w:t xml:space="preserve"> </w:t>
      </w:r>
      <w:r>
        <w:t xml:space="preserve">The Supplier warrants that all goods and services shall comply with Saudi Arabian standards (SASO), data protection regulations, and any applicable directives issued by the Riyadh Municipality. The Supplier shall not disclose any information pertaining to the Politician’s official business to third parties without prior written authorization from the Administrative Secretariat.</w:t>
      </w:r>
    </w:p>
    <w:p>
      <w:pPr>
        <w:numPr>
          <w:ilvl w:val="0"/>
          <w:numId w:val="1001"/>
        </w:numPr>
        <w:pStyle w:val="Compact"/>
      </w:pPr>
      <w:r>
        <w:rPr>
          <w:bCs/>
          <w:b/>
        </w:rPr>
        <w:t xml:space="preserve">Warranty and Defects:</w:t>
      </w:r>
      <w:r>
        <w:t xml:space="preserve"> </w:t>
      </w:r>
      <w:r>
        <w:t xml:space="preserve">All physical goods are covered by a minimum twelve (12) month warranty from the date of delivery. The Supplier shall replace or repair any defective items at no additional cost to the Politician’s office within fourteen (14) days of notification.</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Politician’s office shall be liable only for goods delivered and services rendered up to the effective date of termination.</w:t>
      </w:r>
    </w:p>
    <w:p>
      <w:pPr>
        <w:numPr>
          <w:ilvl w:val="0"/>
          <w:numId w:val="1001"/>
        </w:numPr>
        <w:pStyle w:val="Compact"/>
      </w:pPr>
      <w:r>
        <w:rPr>
          <w:bCs/>
          <w:b/>
        </w:rPr>
        <w:t xml:space="preserve">Dispute Resolution:</w:t>
      </w:r>
      <w:r>
        <w:t xml:space="preserve"> </w:t>
      </w:r>
      <w:r>
        <w:t xml:space="preserve">Any dispute arising from this Purchase Order shall first be subject to amicable negotiation. Failing resolution within thirty (30) days, the matter shall be referred to the competent courts in Riyadh, Kingdom of Saudi Arabia.</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acts of government, natural disasters, or public health emergencies as declared by the Kingdom of Saudi Arabia.</w:t>
      </w:r>
    </w:p>
    <w:p>
      <w:pPr>
        <w:pStyle w:val="FirstParagraph"/>
      </w:pPr>
      <w:r>
        <w:t xml:space="preserve">4. AUTHORIZATION AND SIGNATURES</w:t>
      </w:r>
    </w:p>
    <w:p>
      <w:pPr>
        <w:pStyle w:val="BodyText"/>
      </w:pPr>
      <w:r>
        <w:rPr>
          <w:bCs/>
          <w:b/>
        </w:rPr>
        <w:t xml:space="preserve">For and on behalf of the Buyer</w:t>
      </w:r>
      <w:r>
        <w:br/>
      </w:r>
      <w:r>
        <w:t xml:space="preserve">Administrative Secretariat of the Honorable Politician</w:t>
      </w:r>
      <w:r>
        <w:br/>
      </w:r>
      <w:r>
        <w:t xml:space="preserve">Riyadh, Saudi Arabia</w:t>
      </w:r>
      <w:r>
        <w:br/>
      </w:r>
      <w:r>
        <w:br/>
      </w:r>
      <w:r>
        <w:t xml:space="preserve">Name: ___________________________</w:t>
      </w:r>
      <w:r>
        <w:br/>
      </w:r>
      <w:r>
        <w:t xml:space="preserve">Title: Chief of Staff / Procurement Director</w:t>
      </w:r>
      <w:r>
        <w:br/>
      </w:r>
      <w:r>
        <w:t xml:space="preserve">Date: ___________________________</w:t>
      </w:r>
    </w:p>
    <w:p>
      <w:pPr>
        <w:pStyle w:val="BodyText"/>
      </w:pPr>
      <w:r>
        <w:rPr>
          <w:bCs/>
          <w:b/>
        </w:rPr>
        <w:t xml:space="preserve">For and on behalf of the Supplier</w:t>
      </w:r>
      <w:r>
        <w:br/>
      </w:r>
      <w:r>
        <w:t xml:space="preserve">Al-Nakheel Integrated Services &amp; Consulting Co. Ltd.</w:t>
      </w:r>
      <w:r>
        <w:br/>
      </w:r>
      <w:r>
        <w:t xml:space="preserve">Riyadh, Saudi Arabia</w:t>
      </w:r>
      <w:r>
        <w:br/>
      </w:r>
      <w:r>
        <w:br/>
      </w:r>
      <w:r>
        <w:t xml:space="preserve">Name: ___________________________</w:t>
      </w:r>
      <w:r>
        <w:br/>
      </w:r>
      <w:r>
        <w:t xml:space="preserve">Title: Authorized Signatory / CEO</w:t>
      </w:r>
      <w:r>
        <w:br/>
      </w:r>
      <w:r>
        <w:t xml:space="preserve">Date: ___________________________</w:t>
      </w:r>
    </w:p>
    <w:p>
      <w:pPr>
        <w:pStyle w:val="BodyText"/>
      </w:pPr>
      <w:r>
        <w:t xml:space="preserve">This Purchase Order (PO-KSA-RYD-2025-04782) is issued by the Administrative Secretariat of the Honorable Politician for municipal governance in Riyadh, Kingdom of Saudi Arabia. This document is confidential and intended solely for the parties named herein. Unauthorized reproduction or distribution is prohibited under Saudi Arabian law.</w:t>
      </w:r>
    </w:p>
    <w:p>
      <w:pPr>
        <w:pStyle w:val="BodyText"/>
      </w:pPr>
      <w:r>
        <w:t xml:space="preserve">© 2025 Politician’s Administrative Secretariat — Riyadh, Saudi Arabia.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 Office Services - Saudi Arabia Riyadh</dc:title>
  <dc:creator/>
  <dc:language>en</dc:language>
  <cp:keywords/>
  <dcterms:created xsi:type="dcterms:W3CDTF">2026-10-10T04:12:50Z</dcterms:created>
  <dcterms:modified xsi:type="dcterms:W3CDTF">2026-10-10T04:12:50Z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