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Official Procurement Document for Political Advisory and Campaign Services</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PO-ADH-2025-04871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w:t>
            </w:r>
          </w:p>
        </w:tc>
      </w:tr>
      <w:tr>
        <w:tc>
          <w:tcPr/>
          <w:p>
            <w:pPr>
              <w:pStyle w:val="Compact"/>
              <w:jc w:val="left"/>
            </w:pPr>
            <w:r>
              <w:rPr>
                <w:bCs/>
                <w:b/>
              </w:rPr>
              <w:t xml:space="preserve">Currency:</w:t>
            </w:r>
          </w:p>
        </w:tc>
        <w:tc>
          <w:tcPr/>
          <w:p>
            <w:pPr>
              <w:pStyle w:val="Compact"/>
              <w:jc w:val="left"/>
            </w:pPr>
            <w:r>
              <w:t xml:space="preserve">United Arab Emirates Dirham (AED)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Incoterms:</w:t>
            </w:r>
          </w:p>
        </w:tc>
        <w:tc>
          <w:tcPr/>
          <w:p>
            <w:pPr>
              <w:pStyle w:val="Compact"/>
              <w:jc w:val="left"/>
            </w:pPr>
            <w:r>
              <w:t xml:space="preserve">DDP Abu Dhabi</w:t>
            </w:r>
          </w:p>
        </w:tc>
      </w:tr>
      <w:tr>
        <w:tc>
          <w:tcPr/>
          <w:p>
            <w:pPr>
              <w:pStyle w:val="Compact"/>
              <w:jc w:val="left"/>
            </w:pPr>
            <w:r>
              <w:rPr>
                <w:bCs/>
                <w:b/>
              </w:rPr>
              <w:t xml:space="preserve">Governing Law:</w:t>
            </w:r>
          </w:p>
        </w:tc>
        <w:tc>
          <w:tcPr/>
          <w:p>
            <w:pPr>
              <w:pStyle w:val="Compact"/>
              <w:jc w:val="left"/>
            </w:pPr>
            <w:r>
              <w:t xml:space="preserve">UAE Federal Law</w:t>
            </w:r>
          </w:p>
        </w:tc>
      </w:tr>
      <w:tr>
        <w:tc>
          <w:tcPr/>
          <w:p>
            <w:pPr>
              <w:pStyle w:val="Compact"/>
              <w:jc w:val="left"/>
            </w:pPr>
            <w:r>
              <w:rPr>
                <w:bCs/>
                <w:b/>
              </w:rPr>
              <w:t xml:space="preserve">Classification:</w:t>
            </w:r>
          </w:p>
        </w:tc>
        <w:tc>
          <w:tcPr/>
          <w:p>
            <w:pPr>
              <w:pStyle w:val="Compact"/>
              <w:jc w:val="left"/>
            </w:pPr>
            <w:r>
              <w:t xml:space="preserve">Confidential</w:t>
            </w:r>
          </w:p>
        </w:tc>
      </w:tr>
    </w:tbl>
    <w:p>
      <w:pPr>
        <w:pStyle w:val="BodyText"/>
      </w:pPr>
      <w:r>
        <w:t xml:space="preserve">1. PARTIES TO THIS PURCHASE ORDER</w:t>
      </w:r>
    </w:p>
    <w:bookmarkStart w:id="21" w:name="buyer-ordering-party"/>
    <w:p>
      <w:pPr>
        <w:pStyle w:val="Heading3"/>
      </w:pPr>
      <w:r>
        <w:t xml:space="preserve">BUYER (ORDERING PARTY)</w:t>
      </w:r>
    </w:p>
    <w:p>
      <w:pPr>
        <w:pStyle w:val="FirstParagraph"/>
      </w:pPr>
      <w:r>
        <w:rPr>
          <w:bCs/>
          <w:b/>
        </w:rPr>
        <w:t xml:space="preserve">Office of the Honorable Politician</w:t>
      </w:r>
    </w:p>
    <w:p>
      <w:pPr>
        <w:pStyle w:val="BodyText"/>
      </w:pPr>
      <w:r>
        <w:t xml:space="preserve">Attn: Chief of Staff, Dr. Khalid Al Mansoori</w:t>
      </w:r>
    </w:p>
    <w:p>
      <w:pPr>
        <w:pStyle w:val="BodyText"/>
      </w:pPr>
      <w:r>
        <w:t xml:space="preserve">Political Advisory Bureau, Abu Dhabi</w:t>
      </w:r>
    </w:p>
    <w:p>
      <w:pPr>
        <w:pStyle w:val="BodyText"/>
      </w:pPr>
      <w:r>
        <w:t xml:space="preserve">Al Maryah Island, P.O. Box 12457</w:t>
      </w:r>
    </w:p>
    <w:p>
      <w:pPr>
        <w:pStyle w:val="BodyText"/>
      </w:pPr>
      <w:r>
        <w:t xml:space="preserve">Abu Dhabi, United Arab Emirates</w:t>
      </w:r>
    </w:p>
    <w:p>
      <w:pPr>
        <w:pStyle w:val="BodyText"/>
      </w:pPr>
      <w:r>
        <w:t xml:space="preserve">Tel: +971-2-445-8890</w:t>
      </w:r>
    </w:p>
    <w:p>
      <w:pPr>
        <w:pStyle w:val="BodyText"/>
      </w:pPr>
      <w:r>
        <w:t xml:space="preserve">Email: procurement@politician-office.ad.ae</w:t>
      </w:r>
    </w:p>
    <w:p>
      <w:pPr>
        <w:pStyle w:val="BodyText"/>
      </w:pPr>
      <w:r>
        <w:t xml:space="preserve">Trade License No.: AD-2019-PLT-00342</w:t>
      </w:r>
    </w:p>
    <w:bookmarkEnd w:id="21"/>
    <w:bookmarkStart w:id="22" w:name="seller-supplying-party"/>
    <w:p>
      <w:pPr>
        <w:pStyle w:val="Heading3"/>
      </w:pPr>
      <w:r>
        <w:t xml:space="preserve">SELLER (SUPPLYING PARTY)</w:t>
      </w:r>
    </w:p>
    <w:p>
      <w:pPr>
        <w:pStyle w:val="FirstParagraph"/>
      </w:pPr>
      <w:r>
        <w:rPr>
          <w:bCs/>
          <w:b/>
        </w:rPr>
        <w:t xml:space="preserve">Emirates Political Strategy &amp; Communications LLC</w:t>
      </w:r>
    </w:p>
    <w:p>
      <w:pPr>
        <w:pStyle w:val="BodyText"/>
      </w:pPr>
      <w:r>
        <w:t xml:space="preserve">Attn: Managing Director, Ms. Fatima Al Zahra</w:t>
      </w:r>
    </w:p>
    <w:p>
      <w:pPr>
        <w:pStyle w:val="BodyText"/>
      </w:pPr>
      <w:r>
        <w:t xml:space="preserve">Sheikh Zayed Road, Office 2104, Level 21</w:t>
      </w:r>
    </w:p>
    <w:p>
      <w:pPr>
        <w:pStyle w:val="BodyText"/>
      </w:pPr>
      <w:r>
        <w:t xml:space="preserve">Abu Dhabi, United Arab Emirates</w:t>
      </w:r>
    </w:p>
    <w:p>
      <w:pPr>
        <w:pStyle w:val="BodyText"/>
      </w:pPr>
      <w:r>
        <w:t xml:space="preserve">Tel: +971-2-887-3321</w:t>
      </w:r>
    </w:p>
    <w:p>
      <w:pPr>
        <w:pStyle w:val="BodyText"/>
      </w:pPr>
      <w:r>
        <w:t xml:space="preserve">Email: contracts@epsc-llc.ae</w:t>
      </w:r>
    </w:p>
    <w:p>
      <w:pPr>
        <w:pStyle w:val="BodyText"/>
      </w:pPr>
      <w:r>
        <w:t xml:space="preserve">Trade License No.: AD-2017-COM-11876</w:t>
      </w:r>
    </w:p>
    <w:bookmarkEnd w:id="22"/>
    <w:p>
      <w:pPr>
        <w:pStyle w:val="BodyText"/>
      </w:pPr>
      <w:r>
        <w:t xml:space="preserve">2. SCOPE OF ENGAGEMENT</w:t>
      </w:r>
    </w:p>
    <w:p>
      <w:pPr>
        <w:pStyle w:val="BodyText"/>
      </w:pPr>
      <w:r>
        <w:t xml:space="preserve">This Purchase Order is issued by the Office of the Honorable Politician, operating within the jurisdiction of Abu Dhabi, United Arab Emirates, to procure comprehensive political advisory, public communications, and campaign management services. The services described herein are intended to support the Politician in fulfilling public duties, engaging with constituents across the Emirate of Abu Dhabi, and maintaining effective political communication channels in accordance with the regulations set forth by the Abu Dhabi Executive Office and the UAE Federal Media Regulatory Authority. The Seller shall deliver all services in full compliance with UAE federal legislation, Abu Dhabi municipal bylaws, and all applicable political conduct standards established by the relevant governmental authorities in the United Arab Emirates.</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(AED)</w:t>
            </w:r>
          </w:p>
        </w:tc>
        <w:tc>
          <w:tcPr/>
          <w:p>
            <w:pPr>
              <w:pStyle w:val="Compact"/>
              <w:jc w:val="left"/>
            </w:pPr>
            <w:r>
              <w:t xml:space="preserve">Amount (AED)</w:t>
            </w:r>
          </w:p>
        </w:tc>
        <w:tc>
          <w:tcPr/>
          <w:p>
            <w:pPr>
              <w:pStyle w:val="Compact"/>
              <w:jc w:val="left"/>
            </w:pPr>
            <w:r>
              <w:t xml:space="preserve">Delivery / Due</w:t>
            </w:r>
          </w:p>
        </w:tc>
      </w:tr>
      <w:tr>
        <w:tc>
          <w:tcPr/>
          <w:p>
            <w:pPr>
              <w:pStyle w:val="Compact"/>
              <w:jc w:val="left"/>
            </w:pPr>
            <w:r>
              <w:t xml:space="preserve">01</w:t>
            </w:r>
          </w:p>
        </w:tc>
        <w:tc>
          <w:tcPr/>
          <w:p>
            <w:pPr>
              <w:pStyle w:val="Compact"/>
              <w:jc w:val="left"/>
            </w:pPr>
            <w:r>
              <w:t xml:space="preserve">Senior Political Strategy Consultant — Monthly retainer for the Politician’s legislative agenda planning, policy briefing preparation, and stakeholder engagement strategy within Abu Dhabi</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Monthly, 1st of each month</w:t>
            </w:r>
          </w:p>
        </w:tc>
      </w:tr>
      <w:tr>
        <w:tc>
          <w:tcPr/>
          <w:p>
            <w:pPr>
              <w:pStyle w:val="Compact"/>
              <w:jc w:val="left"/>
            </w:pPr>
            <w:r>
              <w:t xml:space="preserve">02</w:t>
            </w:r>
          </w:p>
        </w:tc>
        <w:tc>
          <w:tcPr/>
          <w:p>
            <w:pPr>
              <w:pStyle w:val="Compact"/>
              <w:jc w:val="left"/>
            </w:pPr>
            <w:r>
              <w:t xml:space="preserve">Public Relations &amp; Media Relations Package — Management of press conferences, media interviews, and public statements on behalf of the Politician across all UAE national and local media outlets in Abu Dhabi</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Continuous, Q2–Q3 2025</w:t>
            </w:r>
          </w:p>
        </w:tc>
      </w:tr>
      <w:tr>
        <w:tc>
          <w:tcPr/>
          <w:p>
            <w:pPr>
              <w:pStyle w:val="Compact"/>
              <w:jc w:val="left"/>
            </w:pPr>
            <w:r>
              <w:t xml:space="preserve">03</w:t>
            </w:r>
          </w:p>
        </w:tc>
        <w:tc>
          <w:tcPr/>
          <w:p>
            <w:pPr>
              <w:pStyle w:val="Compact"/>
              <w:jc w:val="left"/>
            </w:pPr>
            <w:r>
              <w:t xml:space="preserve">Constituent Engagement &amp; Community Outreach Program — Organization of town halls, community forums, and public service events in Abu Dhabi districts (Al Ain, Al Dhafra, Central Abu Dhabi) to support the Politician’s public mandate</w:t>
            </w:r>
          </w:p>
        </w:tc>
        <w:tc>
          <w:tcPr/>
          <w:p>
            <w:pPr>
              <w:pStyle w:val="Compact"/>
              <w:jc w:val="left"/>
            </w:pPr>
            <w:r>
              <w:t xml:space="preserve">12 events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Bi-weekly schedule</w:t>
            </w:r>
          </w:p>
        </w:tc>
      </w:tr>
      <w:tr>
        <w:tc>
          <w:tcPr/>
          <w:p>
            <w:pPr>
              <w:pStyle w:val="Compact"/>
              <w:jc w:val="left"/>
            </w:pPr>
            <w:r>
              <w:t xml:space="preserve">04</w:t>
            </w:r>
          </w:p>
        </w:tc>
        <w:tc>
          <w:tcPr/>
          <w:p>
            <w:pPr>
              <w:pStyle w:val="Compact"/>
              <w:jc w:val="left"/>
            </w:pPr>
            <w:r>
              <w:t xml:space="preserve">Digital Communications &amp; Social Media Management — Full management of the Politician’s official digital presence, including content creation, audience analytics, and crisis communication protocols compliant with UAE cyber and media regulations</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c>
          <w:tcPr/>
          <w:p>
            <w:pPr>
              <w:pStyle w:val="Compact"/>
              <w:jc w:val="left"/>
            </w:pPr>
            <w:r>
              <w:t xml:space="preserve">Monthly deliverables</w:t>
            </w:r>
          </w:p>
        </w:tc>
      </w:tr>
      <w:tr>
        <w:tc>
          <w:tcPr/>
          <w:p>
            <w:pPr>
              <w:pStyle w:val="Compact"/>
              <w:jc w:val="left"/>
            </w:pPr>
            <w:r>
              <w:t xml:space="preserve">05</w:t>
            </w:r>
          </w:p>
        </w:tc>
        <w:tc>
          <w:tcPr/>
          <w:p>
            <w:pPr>
              <w:pStyle w:val="Compact"/>
              <w:jc w:val="left"/>
            </w:pPr>
            <w:r>
              <w:t xml:space="preserve">Security &amp; Protocol Coordination — Liaison services with Abu Dhabi Police and UAE security agencies for the Politician’s public appearances, travel within the Emirate, and official state functions</w:t>
            </w:r>
          </w:p>
        </w:tc>
        <w:tc>
          <w:tcPr/>
          <w:p>
            <w:pPr>
              <w:pStyle w:val="Compact"/>
              <w:jc w:val="left"/>
            </w:pPr>
            <w:r>
              <w:t xml:space="preserve">6 months</w:t>
            </w:r>
          </w:p>
        </w:tc>
        <w:tc>
          <w:tcPr/>
          <w:p>
            <w:pPr>
              <w:pStyle w:val="Compact"/>
              <w:jc w:val="left"/>
            </w:pPr>
            <w:r>
              <w:t xml:space="preserve">28,000.00</w:t>
            </w:r>
          </w:p>
        </w:tc>
        <w:tc>
          <w:tcPr/>
          <w:p>
            <w:pPr>
              <w:pStyle w:val="Compact"/>
              <w:jc w:val="left"/>
            </w:pPr>
            <w:r>
              <w:t xml:space="preserve">168,000.00</w:t>
            </w:r>
          </w:p>
        </w:tc>
        <w:tc>
          <w:tcPr/>
          <w:p>
            <w:pPr>
              <w:pStyle w:val="Compact"/>
              <w:jc w:val="left"/>
            </w:pPr>
            <w:r>
              <w:t xml:space="preserve">Continuous coverage</w:t>
            </w:r>
          </w:p>
        </w:tc>
      </w:tr>
      <w:tr>
        <w:tc>
          <w:tcPr/>
          <w:p>
            <w:pPr>
              <w:pStyle w:val="Compact"/>
              <w:jc w:val="left"/>
            </w:pPr>
            <w:r>
              <w:t xml:space="preserve">06</w:t>
            </w:r>
          </w:p>
        </w:tc>
        <w:tc>
          <w:tcPr/>
          <w:p>
            <w:pPr>
              <w:pStyle w:val="Compact"/>
              <w:jc w:val="left"/>
            </w:pPr>
            <w:r>
              <w:t xml:space="preserve">Policy Research &amp; Legislative Drafting Support — Provision of research analysts to support the Politician in drafting proposals, reviewing legislation, and preparing parliamentary submissions for the UAE Federal National Council sessions</w:t>
            </w:r>
          </w:p>
        </w:tc>
        <w:tc>
          <w:tcPr/>
          <w:p>
            <w:pPr>
              <w:pStyle w:val="Compact"/>
              <w:jc w:val="left"/>
            </w:pPr>
            <w:r>
              <w:t xml:space="preserve">6 months</w:t>
            </w:r>
          </w:p>
        </w:tc>
        <w:tc>
          <w:tcPr/>
          <w:p>
            <w:pPr>
              <w:pStyle w:val="Compact"/>
              <w:jc w:val="left"/>
            </w:pPr>
            <w:r>
              <w:t xml:space="preserve">38,000.00</w:t>
            </w:r>
          </w:p>
        </w:tc>
        <w:tc>
          <w:tcPr/>
          <w:p>
            <w:pPr>
              <w:pStyle w:val="Compact"/>
              <w:jc w:val="left"/>
            </w:pPr>
            <w:r>
              <w:t xml:space="preserve">228,000.00</w:t>
            </w:r>
          </w:p>
        </w:tc>
        <w:tc>
          <w:tcPr/>
          <w:p>
            <w:pPr>
              <w:pStyle w:val="Compact"/>
              <w:jc w:val="left"/>
            </w:pPr>
            <w:r>
              <w:t xml:space="preserve">Monthly reports</w:t>
            </w:r>
          </w:p>
        </w:tc>
      </w:tr>
      <w:tr>
        <w:tc>
          <w:tcPr/>
          <w:p>
            <w:pPr>
              <w:pStyle w:val="Compact"/>
              <w:jc w:val="left"/>
            </w:pPr>
            <w:r>
              <w:t xml:space="preserve">07</w:t>
            </w:r>
          </w:p>
        </w:tc>
        <w:tc>
          <w:tcPr/>
          <w:p>
            <w:pPr>
              <w:pStyle w:val="Compact"/>
              <w:jc w:val="left"/>
            </w:pPr>
            <w:r>
              <w:t xml:space="preserve">Official Stationery, Branding &amp; Event Materials — Design and production of official documents, banners, signage, and branded materials bearing the Politician’s office insignia for use in Abu Dhabi public events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Within 15 days of PO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1,245,000.00 AED</w:t>
            </w:r>
          </w:p>
        </w:tc>
      </w:tr>
      <w:tr>
        <w:tc>
          <w:tcPr/>
          <w:p>
            <w:pPr>
              <w:pStyle w:val="Compact"/>
              <w:jc w:val="left"/>
            </w:pPr>
            <w:r>
              <w:t xml:space="preserve">VAT (5% — UAE Federal Tax Authority)</w:t>
            </w:r>
          </w:p>
        </w:tc>
        <w:tc>
          <w:tcPr/>
          <w:p>
            <w:pPr>
              <w:pStyle w:val="Compact"/>
              <w:jc w:val="right"/>
            </w:pPr>
            <w:r>
              <w:t xml:space="preserve">62,250.00 AED</w:t>
            </w:r>
          </w:p>
        </w:tc>
      </w:tr>
      <w:tr>
        <w:tc>
          <w:tcPr/>
          <w:p>
            <w:pPr>
              <w:pStyle w:val="Compact"/>
              <w:jc w:val="left"/>
            </w:pPr>
            <w:r>
              <w:t xml:space="preserve">Abu Dhabi Municipal Service Levy (2%)</w:t>
            </w:r>
          </w:p>
        </w:tc>
        <w:tc>
          <w:tcPr/>
          <w:p>
            <w:pPr>
              <w:pStyle w:val="Compact"/>
              <w:jc w:val="right"/>
            </w:pPr>
            <w:r>
              <w:t xml:space="preserve">24,900.00 AED</w:t>
            </w:r>
          </w:p>
        </w:tc>
      </w:tr>
      <w:tr>
        <w:tc>
          <w:tcPr/>
          <w:p>
            <w:pPr>
              <w:pStyle w:val="Compact"/>
              <w:jc w:val="left"/>
            </w:pPr>
            <w:r>
              <w:t xml:space="preserve">GRAND TOTAL</w:t>
            </w:r>
          </w:p>
        </w:tc>
        <w:tc>
          <w:tcPr/>
          <w:p>
            <w:pPr>
              <w:pStyle w:val="Compact"/>
              <w:jc w:val="right"/>
            </w:pPr>
            <w:r>
              <w:t xml:space="preserve">1,332,150.00 AED</w:t>
            </w:r>
          </w:p>
        </w:tc>
      </w:tr>
    </w:tbl>
    <w:p>
      <w:pPr>
        <w:pStyle w:val="BodyText"/>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federal laws of the United Arab Emirates and the specific regulations of the Emirate of Abu Dhabi. Any disputes arising from this Purchase Order shall be subject to the exclusive jurisdiction of the Abu Dhabi Courts of First Instance.</w:t>
      </w:r>
    </w:p>
    <w:p>
      <w:pPr>
        <w:numPr>
          <w:ilvl w:val="0"/>
          <w:numId w:val="1001"/>
        </w:numPr>
        <w:pStyle w:val="Compact"/>
      </w:pPr>
      <w:r>
        <w:rPr>
          <w:bCs/>
          <w:b/>
        </w:rPr>
        <w:t xml:space="preserve">Compliance with Political Conduct:</w:t>
      </w:r>
      <w:r>
        <w:t xml:space="preserve"> </w:t>
      </w:r>
      <w:r>
        <w:t xml:space="preserve">The Seller acknowledges that all services rendered under this Purchase Order are provided in support of a Politician holding public office in the United Arab Emirates. The Seller shall adhere strictly to the UAE Code of Conduct for Public Officials, the Abu Dhabi Political Advisory Bureau guidelines, and all directives issued by the Federal Media Regulatory Authority.</w:t>
      </w:r>
    </w:p>
    <w:p>
      <w:pPr>
        <w:numPr>
          <w:ilvl w:val="0"/>
          <w:numId w:val="1001"/>
        </w:numPr>
        <w:pStyle w:val="Compact"/>
      </w:pPr>
      <w:r>
        <w:rPr>
          <w:bCs/>
          <w:b/>
        </w:rPr>
        <w:t xml:space="preserve">Confidentiality:</w:t>
      </w:r>
      <w:r>
        <w:t xml:space="preserve"> </w:t>
      </w:r>
      <w:r>
        <w:t xml:space="preserve">All information exchanged between the parties in connection with this Purchase Order, including but not limited to the Politician’s strategic plans, constituent data, and internal communications, shall be treated as strictly confidential. Breach of confidentiality shall result in immediate termination and liability under UAE Federal Decree-Law No. 34 of 2021 on Combating Rumors and Cybercrimes.</w:t>
      </w:r>
    </w:p>
    <w:p>
      <w:pPr>
        <w:numPr>
          <w:ilvl w:val="0"/>
          <w:numId w:val="1001"/>
        </w:numPr>
        <w:pStyle w:val="Compact"/>
      </w:pPr>
      <w:r>
        <w:rPr>
          <w:bCs/>
          <w:b/>
        </w:rPr>
        <w:t xml:space="preserve">Payment:</w:t>
      </w:r>
      <w:r>
        <w:t xml:space="preserve"> </w:t>
      </w:r>
      <w:r>
        <w:t xml:space="preserve">Payment shall be made via bank transfer to the Seller’s designated account in Abu Dhabi within thirty (30) calendar days of receipt of a valid tax invoice. Late payments shall accrue interest at the rate of 2% per month in accordance with UAE commercial law.</w:t>
      </w:r>
    </w:p>
    <w:p>
      <w:pPr>
        <w:numPr>
          <w:ilvl w:val="0"/>
          <w:numId w:val="1001"/>
        </w:numPr>
        <w:pStyle w:val="Compact"/>
      </w:pPr>
      <w:r>
        <w:rPr>
          <w:bCs/>
          <w:b/>
        </w:rPr>
        <w:t xml:space="preserve">Performance Standards:</w:t>
      </w:r>
      <w:r>
        <w:t xml:space="preserve"> </w:t>
      </w:r>
      <w:r>
        <w:t xml:space="preserve">The Seller shall assign a dedicated project manager based in Abu Dhabi to oversee all deliverables. Monthly performance reviews shall be conducted with the Office of the Politician’s Chief of Staff. Failure to meet agreed service levels for two consecutive months shall entitle the Buyer to terminate this Purchase Order with fourteen (14) days’ written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or emergency declarations issued by the UAE Cabinet or the Abu Dhabi Executive Council.</w:t>
      </w:r>
    </w:p>
    <w:p>
      <w:pPr>
        <w:numPr>
          <w:ilvl w:val="0"/>
          <w:numId w:val="1001"/>
        </w:numPr>
        <w:pStyle w:val="Compact"/>
      </w:pPr>
      <w:r>
        <w:rPr>
          <w:bCs/>
          <w:b/>
        </w:rPr>
        <w:t xml:space="preserve">Intellectual Property:</w:t>
      </w:r>
      <w:r>
        <w:t xml:space="preserve"> </w:t>
      </w:r>
      <w:r>
        <w:t xml:space="preserve">All materials, reports, strategies, and content created specifically for the Politician’s office under this Purchase Order shall remain the exclusive property of the Buyer. The Seller retains no rights to reproduce, distribute, or reference such materials without prior written consent.</w:t>
      </w:r>
    </w:p>
    <w:p>
      <w:pPr>
        <w:numPr>
          <w:ilvl w:val="0"/>
          <w:numId w:val="1001"/>
        </w:numPr>
        <w:pStyle w:val="Compact"/>
      </w:pPr>
      <w:r>
        <w:rPr>
          <w:bCs/>
          <w:b/>
        </w:rPr>
        <w:t xml:space="preserve">Anti-Corruption:</w:t>
      </w:r>
      <w:r>
        <w:t xml:space="preserve"> </w:t>
      </w:r>
      <w:r>
        <w:t xml:space="preserve">Both parties warrant compliance with the UAE Anti-Corruption Law (Federal Decree-Law No. 20 of 2016) and the Abu Dhabi Anti-Corruption Bureau regulations. Any act of bribery, kickback, or improper inducement shall constitute grounds for immediate termination and referral to the relevant UAE prosecutorial authorities.</w:t>
      </w:r>
    </w:p>
    <w:p>
      <w:pPr>
        <w:pStyle w:val="FirstParagraph"/>
      </w:pPr>
      <w:r>
        <w:t xml:space="preserve">5. AUTHORIZED SIGNATORIES</w:t>
      </w:r>
    </w:p>
    <w:p>
      <w:pPr>
        <w:pStyle w:val="BodyText"/>
      </w:pPr>
      <w:r>
        <w:rPr>
          <w:bCs/>
          <w:b/>
        </w:rPr>
        <w:t xml:space="preserve">For and on behalf of the Buyer</w:t>
      </w:r>
      <w:r>
        <w:br/>
      </w:r>
      <w:r>
        <w:t xml:space="preserve">Office of the Honorable Politician</w:t>
      </w:r>
      <w:r>
        <w:br/>
      </w:r>
      <w:r>
        <w:t xml:space="preserve">Abu Dhabi, United Arab Emirates</w:t>
      </w:r>
      <w:r>
        <w:br/>
      </w:r>
      <w:r>
        <w:br/>
      </w:r>
      <w:r>
        <w:t xml:space="preserve">Name: Dr. Khalid Al Mansoori</w:t>
      </w:r>
      <w:r>
        <w:br/>
      </w:r>
      <w:r>
        <w:t xml:space="preserve">Title: Chief of Staff</w:t>
      </w:r>
      <w:r>
        <w:br/>
      </w:r>
      <w:r>
        <w:t xml:space="preserve">Date: _______________</w:t>
      </w:r>
    </w:p>
    <w:p>
      <w:pPr>
        <w:pStyle w:val="BodyText"/>
      </w:pPr>
      <w:r>
        <w:rPr>
          <w:bCs/>
          <w:b/>
        </w:rPr>
        <w:t xml:space="preserve">For and on behalf of the Seller</w:t>
      </w:r>
      <w:r>
        <w:br/>
      </w:r>
      <w:r>
        <w:t xml:space="preserve">Emirates Political Strategy &amp; Communications LLC</w:t>
      </w:r>
      <w:r>
        <w:br/>
      </w:r>
      <w:r>
        <w:t xml:space="preserve">Abu Dhabi, United Arab Emirates</w:t>
      </w:r>
      <w:r>
        <w:br/>
      </w:r>
      <w:r>
        <w:br/>
      </w:r>
      <w:r>
        <w:t xml:space="preserve">Name: Ms. Fatima Al Zahra</w:t>
      </w:r>
      <w:r>
        <w:br/>
      </w:r>
      <w:r>
        <w:t xml:space="preserve">Title: Managing Director</w:t>
      </w:r>
      <w:r>
        <w:br/>
      </w:r>
      <w:r>
        <w:t xml:space="preserve">Date: _______________</w:t>
      </w:r>
    </w:p>
    <w:p>
      <w:pPr>
        <w:pStyle w:val="BodyText"/>
      </w:pPr>
      <w:r>
        <w:t xml:space="preserve">This Purchase Order (PO-ADH-2025-04871) is an official procurement document issued by the Office of the Honorable Politician, Abu Dhabi, United Arab Emirates. It is valid only when signed and stamped by both authorized parties. This document is subject to the laws of the United Arab Emirates and the regulations of the Emirate of Abu Dhabi. Unauthorized reproduction or distribution is prohibited under UAE Federal Law.</w:t>
      </w:r>
    </w:p>
    <w:p>
      <w:pPr>
        <w:pStyle w:val="BodyText"/>
      </w:pPr>
      <w:r>
        <w:t xml:space="preserve">Document Reference: PO-ADH-2025-04871 | Issued in Abu Dhabi, UAE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Services - Abu Dhabi, United Arab Emirates</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