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Professor</w:t>
      </w:r>
      <w:r>
        <w:t xml:space="preserve"> </w:t>
      </w:r>
      <w:r>
        <w:t xml:space="preserve">Platform</w:t>
      </w:r>
      <w:r>
        <w:t xml:space="preserve"> </w:t>
      </w:r>
      <w:r>
        <w:t xml:space="preserve">-</w:t>
      </w:r>
      <w:r>
        <w:t xml:space="preserve"> </w:t>
      </w:r>
      <w:r>
        <w:t xml:space="preserve">Colombia</w:t>
      </w:r>
      <w:r>
        <w:t xml:space="preserve"> </w:t>
      </w:r>
      <w:r>
        <w:t xml:space="preserve">Bogotá</w:t>
      </w:r>
    </w:p>
    <w:bookmarkStart w:id="20" w:name="purchase-order"/>
    <w:p>
      <w:pPr>
        <w:pStyle w:val="Heading1"/>
      </w:pPr>
      <w:r>
        <w:t xml:space="preserve">PURCHASE ORDER</w:t>
      </w:r>
    </w:p>
    <w:p>
      <w:pPr>
        <w:pStyle w:val="FirstParagraph"/>
      </w:pPr>
      <w:r>
        <w:t xml:space="preserve">Official Procurement Document — Academic Technology Division</w:t>
      </w:r>
    </w:p>
    <w:p>
      <w:pPr>
        <w:pStyle w:val="BodyText"/>
      </w:pPr>
      <w:r>
        <w:t xml:space="preserve">PO Reference No: PO-COL-BOG-2025-004782</w:t>
      </w:r>
    </w:p>
    <w:bookmarkEnd w:id="20"/>
    <w:bookmarkStart w:id="21" w:name="vendor-supplier"/>
    <w:p>
      <w:pPr>
        <w:pStyle w:val="Heading3"/>
      </w:pPr>
      <w:r>
        <w:t xml:space="preserve">Vendor / Supplier</w:t>
      </w:r>
    </w:p>
    <w:p>
      <w:pPr>
        <w:pStyle w:val="FirstParagraph"/>
      </w:pPr>
      <w:r>
        <w:rPr>
          <w:bCs/>
          <w:b/>
        </w:rPr>
        <w:t xml:space="preserve">Professor Solutions International S.A.S.</w:t>
      </w:r>
    </w:p>
    <w:p>
      <w:pPr>
        <w:pStyle w:val="BodyText"/>
      </w:pPr>
      <w:r>
        <w:t xml:space="preserve">Av. El Poblado #19-22, Of. 501</w:t>
      </w:r>
    </w:p>
    <w:p>
      <w:pPr>
        <w:pStyle w:val="BodyText"/>
      </w:pPr>
      <w:r>
        <w:t xml:space="preserve">Bogotá D.C., Colombia</w:t>
      </w:r>
    </w:p>
    <w:p>
      <w:pPr>
        <w:pStyle w:val="BodyText"/>
      </w:pPr>
      <w:r>
        <w:t xml:space="preserve">NIT: 901.234.567-8</w:t>
      </w:r>
    </w:p>
    <w:p>
      <w:pPr>
        <w:pStyle w:val="BodyText"/>
      </w:pPr>
      <w:r>
        <w:t xml:space="preserve">Contact: procurement@professorsolutions.co</w:t>
      </w:r>
    </w:p>
    <w:p>
      <w:pPr>
        <w:pStyle w:val="BodyText"/>
      </w:pPr>
      <w:r>
        <w:t xml:space="preserve">Phone: +57 (601) 555 7842</w:t>
      </w:r>
    </w:p>
    <w:bookmarkEnd w:id="21"/>
    <w:bookmarkStart w:id="22" w:name="bill-to-purchasing-entity"/>
    <w:p>
      <w:pPr>
        <w:pStyle w:val="Heading3"/>
      </w:pPr>
      <w:r>
        <w:t xml:space="preserve">Bill To / Purchasing Entity</w:t>
      </w:r>
    </w:p>
    <w:p>
      <w:pPr>
        <w:pStyle w:val="FirstParagraph"/>
      </w:pPr>
      <w:r>
        <w:rPr>
          <w:bCs/>
          <w:b/>
        </w:rPr>
        <w:t xml:space="preserve">Universidad Nacional de Colombia</w:t>
      </w:r>
    </w:p>
    <w:p>
      <w:pPr>
        <w:pStyle w:val="BodyText"/>
      </w:pPr>
      <w:r>
        <w:t xml:space="preserve">Departamento de Tecnología Educativa</w:t>
      </w:r>
    </w:p>
    <w:p>
      <w:pPr>
        <w:pStyle w:val="BodyText"/>
      </w:pPr>
      <w:r>
        <w:t xml:space="preserve">Cra. 30 #45-03, Ciudad Universitaria</w:t>
      </w:r>
    </w:p>
    <w:p>
      <w:pPr>
        <w:pStyle w:val="BodyText"/>
      </w:pPr>
      <w:r>
        <w:t xml:space="preserve">Bogotá D.C., Colombia</w:t>
      </w:r>
    </w:p>
    <w:p>
      <w:pPr>
        <w:pStyle w:val="BodyText"/>
      </w:pPr>
      <w:r>
        <w:t xml:space="preserve">Consejero: Dr. Alejandro Restrepo M.</w:t>
      </w:r>
    </w:p>
    <w:p>
      <w:pPr>
        <w:pStyle w:val="BodyText"/>
      </w:pPr>
      <w:r>
        <w:t xml:space="preserve">Phone: +57 (601) 310 2000</w:t>
      </w:r>
    </w:p>
    <w:bookmarkEnd w:id="22"/>
    <w:bookmarkStart w:id="23" w:name="order-details"/>
    <w:p>
      <w:pPr>
        <w:pStyle w:val="Heading3"/>
      </w:pPr>
      <w:r>
        <w:t xml:space="preserve">Order Details</w:t>
      </w:r>
    </w:p>
    <w:p>
      <w:pPr>
        <w:pStyle w:val="FirstParagraph"/>
      </w:pPr>
      <w:r>
        <w:rPr>
          <w:bCs/>
          <w:b/>
        </w:rPr>
        <w:t xml:space="preserve">Date of Issue:</w:t>
      </w:r>
      <w:r>
        <w:t xml:space="preserve"> </w:t>
      </w:r>
      <w:r>
        <w:t xml:space="preserve">15 June 2025</w:t>
      </w:r>
    </w:p>
    <w:p>
      <w:pPr>
        <w:pStyle w:val="BodyText"/>
      </w:pPr>
      <w:r>
        <w:rPr>
          <w:bCs/>
          <w:b/>
        </w:rPr>
        <w:t xml:space="preserve">Delivery Deadline:</w:t>
      </w:r>
      <w:r>
        <w:t xml:space="preserve"> </w:t>
      </w:r>
      <w:r>
        <w:t xml:space="preserve">15 August 2025</w:t>
      </w:r>
    </w:p>
    <w:p>
      <w:pPr>
        <w:pStyle w:val="BodyText"/>
      </w:pPr>
      <w:r>
        <w:rPr>
          <w:bCs/>
          <w:b/>
        </w:rPr>
        <w:t xml:space="preserve">Delivery Location:</w:t>
      </w:r>
      <w:r>
        <w:t xml:space="preserve"> </w:t>
      </w:r>
      <w:r>
        <w:t xml:space="preserve">Bogotá D.C., Colombia</w:t>
      </w:r>
    </w:p>
    <w:p>
      <w:pPr>
        <w:pStyle w:val="BodyText"/>
      </w:pPr>
      <w:r>
        <w:rPr>
          <w:bCs/>
          <w:b/>
        </w:rPr>
        <w:t xml:space="preserve">Currency:</w:t>
      </w:r>
      <w:r>
        <w:t xml:space="preserve"> </w:t>
      </w:r>
      <w:r>
        <w:t xml:space="preserve">Colombian Peso (COP)</w:t>
      </w:r>
    </w:p>
    <w:p>
      <w:pPr>
        <w:pStyle w:val="BodyText"/>
      </w:pPr>
      <w:r>
        <w:rPr>
          <w:bCs/>
          <w:b/>
        </w:rPr>
        <w:t xml:space="preserve">Payment Terms:</w:t>
      </w:r>
      <w:r>
        <w:t xml:space="preserve"> </w:t>
      </w:r>
      <w:r>
        <w:t xml:space="preserve">Net 30 days</w:t>
      </w:r>
    </w:p>
    <w:bookmarkEnd w:id="23"/>
    <w:bookmarkStart w:id="24" w:name="X2590c4fedebe54dd69d5f9ee838f73c99669e0a"/>
    <w:p>
      <w:pPr>
        <w:pStyle w:val="Heading2"/>
      </w:pPr>
      <w:r>
        <w:t xml:space="preserve">Line Items — Professor Platform &amp; Academic Services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(COP)</w:t>
            </w:r>
          </w:p>
        </w:tc>
        <w:tc>
          <w:tcPr/>
          <w:p>
            <w:pPr>
              <w:pStyle w:val="Compact"/>
              <w:jc w:val="left"/>
            </w:pPr>
            <w:r>
              <w:t xml:space="preserve">Total (COP)</w:t>
            </w:r>
          </w:p>
        </w:tc>
      </w:tr>
      <w:tr>
        <w:tc>
          <w:tcPr/>
          <w:p>
            <w:pPr>
              <w:pStyle w:val="Compact"/>
              <w:jc w:val="left"/>
            </w:pPr>
            <w:r>
              <w:t xml:space="preserve">001</w:t>
            </w:r>
          </w:p>
        </w:tc>
        <w:tc>
          <w:tcPr/>
          <w:p>
            <w:pPr>
              <w:pStyle w:val="Compact"/>
              <w:jc w:val="left"/>
            </w:pPr>
            <w:r>
              <w:rPr>
                <w:bCs/>
                <w:b/>
              </w:rPr>
              <w:t xml:space="preserve">Professor</w:t>
            </w:r>
            <w:r>
              <w:t xml:space="preserve"> </w:t>
            </w:r>
            <w:r>
              <w:t xml:space="preserve">Enterprise Learning Management Platform — Annual License (500 concurrent users), including full deployment, configuration, and integration with existing university systems in Bogotá</w:t>
            </w:r>
          </w:p>
        </w:tc>
        <w:tc>
          <w:tcPr/>
          <w:p>
            <w:pPr>
              <w:pStyle w:val="Compact"/>
              <w:jc w:val="left"/>
            </w:pPr>
            <w:r>
              <w:t xml:space="preserve">1</w:t>
            </w:r>
          </w:p>
        </w:tc>
        <w:tc>
          <w:tcPr/>
          <w:p>
            <w:pPr>
              <w:pStyle w:val="Compact"/>
              <w:jc w:val="left"/>
            </w:pPr>
            <w:r>
              <w:t xml:space="preserve">285,000,000</w:t>
            </w:r>
          </w:p>
        </w:tc>
        <w:tc>
          <w:tcPr/>
          <w:p>
            <w:pPr>
              <w:pStyle w:val="Compact"/>
              <w:jc w:val="left"/>
            </w:pPr>
            <w:r>
              <w:t xml:space="preserve">285,000,000</w:t>
            </w:r>
          </w:p>
        </w:tc>
      </w:tr>
      <w:tr>
        <w:tc>
          <w:tcPr/>
          <w:p>
            <w:pPr>
              <w:pStyle w:val="Compact"/>
              <w:jc w:val="left"/>
            </w:pPr>
            <w:r>
              <w:t xml:space="preserve">002</w:t>
            </w:r>
          </w:p>
        </w:tc>
        <w:tc>
          <w:tcPr/>
          <w:p>
            <w:pPr>
              <w:pStyle w:val="Compact"/>
              <w:jc w:val="left"/>
            </w:pPr>
            <w:r>
              <w:rPr>
                <w:bCs/>
                <w:b/>
              </w:rPr>
              <w:t xml:space="preserve">Professor</w:t>
            </w:r>
            <w:r>
              <w:t xml:space="preserve"> </w:t>
            </w:r>
            <w:r>
              <w:t xml:space="preserve">Advanced Analytics &amp; Reporting Module — Real-time academic performance dashboards, student engagement tracking, and institutional compliance reporting tailored for Colombian Ministry of Education (MinEducación) standards</w:t>
            </w:r>
          </w:p>
        </w:tc>
        <w:tc>
          <w:tcPr/>
          <w:p>
            <w:pPr>
              <w:pStyle w:val="Compact"/>
              <w:jc w:val="left"/>
            </w:pPr>
            <w:r>
              <w:t xml:space="preserve">1</w:t>
            </w:r>
          </w:p>
        </w:tc>
        <w:tc>
          <w:tcPr/>
          <w:p>
            <w:pPr>
              <w:pStyle w:val="Compact"/>
              <w:jc w:val="left"/>
            </w:pPr>
            <w:r>
              <w:t xml:space="preserve">92,500,000</w:t>
            </w:r>
          </w:p>
        </w:tc>
        <w:tc>
          <w:tcPr/>
          <w:p>
            <w:pPr>
              <w:pStyle w:val="Compact"/>
              <w:jc w:val="left"/>
            </w:pPr>
            <w:r>
              <w:t xml:space="preserve">92,500,000</w:t>
            </w:r>
          </w:p>
        </w:tc>
      </w:tr>
      <w:tr>
        <w:tc>
          <w:tcPr/>
          <w:p>
            <w:pPr>
              <w:pStyle w:val="Compact"/>
              <w:jc w:val="left"/>
            </w:pPr>
            <w:r>
              <w:t xml:space="preserve">003</w:t>
            </w:r>
          </w:p>
        </w:tc>
        <w:tc>
          <w:tcPr/>
          <w:p>
            <w:pPr>
              <w:pStyle w:val="Compact"/>
              <w:jc w:val="left"/>
            </w:pPr>
            <w:r>
              <w:rPr>
                <w:bCs/>
                <w:b/>
              </w:rPr>
              <w:t xml:space="preserve">Professor</w:t>
            </w:r>
            <w:r>
              <w:t xml:space="preserve"> </w:t>
            </w:r>
            <w:r>
              <w:t xml:space="preserve">Virtual Classroom Suite — Live streaming, collaborative whiteboard, and asynchronous content delivery for 120 lecture halls across the Bogotá campus</w:t>
            </w:r>
          </w:p>
        </w:tc>
        <w:tc>
          <w:tcPr/>
          <w:p>
            <w:pPr>
              <w:pStyle w:val="Compact"/>
              <w:jc w:val="left"/>
            </w:pPr>
            <w:r>
              <w:t xml:space="preserve">120</w:t>
            </w:r>
          </w:p>
        </w:tc>
        <w:tc>
          <w:tcPr/>
          <w:p>
            <w:pPr>
              <w:pStyle w:val="Compact"/>
              <w:jc w:val="left"/>
            </w:pPr>
            <w:r>
              <w:t xml:space="preserve">1,850,000</w:t>
            </w:r>
          </w:p>
        </w:tc>
        <w:tc>
          <w:tcPr/>
          <w:p>
            <w:pPr>
              <w:pStyle w:val="Compact"/>
              <w:jc w:val="left"/>
            </w:pPr>
            <w:r>
              <w:t xml:space="preserve">222,000,000</w:t>
            </w:r>
          </w:p>
        </w:tc>
      </w:tr>
      <w:tr>
        <w:tc>
          <w:tcPr/>
          <w:p>
            <w:pPr>
              <w:pStyle w:val="Compact"/>
              <w:jc w:val="left"/>
            </w:pPr>
            <w:r>
              <w:t xml:space="preserve">004</w:t>
            </w:r>
          </w:p>
        </w:tc>
        <w:tc>
          <w:tcPr/>
          <w:p>
            <w:pPr>
              <w:pStyle w:val="Compact"/>
              <w:jc w:val="left"/>
            </w:pPr>
            <w:r>
              <w:rPr>
                <w:bCs/>
                <w:b/>
              </w:rPr>
              <w:t xml:space="preserve">Professor</w:t>
            </w:r>
            <w:r>
              <w:t xml:space="preserve"> </w:t>
            </w:r>
            <w:r>
              <w:t xml:space="preserve">Faculty Training Program — On-site instructor certification workshops (4 sessions of 3 days each) conducted at the Bogotá D.C. campus for 200 academic staff</w:t>
            </w:r>
          </w:p>
        </w:tc>
        <w:tc>
          <w:tcPr/>
          <w:p>
            <w:pPr>
              <w:pStyle w:val="Compact"/>
              <w:jc w:val="left"/>
            </w:pPr>
            <w:r>
              <w:t xml:space="preserve">4</w:t>
            </w:r>
          </w:p>
        </w:tc>
        <w:tc>
          <w:tcPr/>
          <w:p>
            <w:pPr>
              <w:pStyle w:val="Compact"/>
              <w:jc w:val="left"/>
            </w:pPr>
            <w:r>
              <w:t xml:space="preserve">18,750,000</w:t>
            </w:r>
          </w:p>
        </w:tc>
        <w:tc>
          <w:tcPr/>
          <w:p>
            <w:pPr>
              <w:pStyle w:val="Compact"/>
              <w:jc w:val="left"/>
            </w:pPr>
            <w:r>
              <w:t xml:space="preserve">75,000,000</w:t>
            </w:r>
          </w:p>
        </w:tc>
      </w:tr>
      <w:tr>
        <w:tc>
          <w:tcPr/>
          <w:p>
            <w:pPr>
              <w:pStyle w:val="Compact"/>
              <w:jc w:val="left"/>
            </w:pPr>
            <w:r>
              <w:t xml:space="preserve">005</w:t>
            </w:r>
          </w:p>
        </w:tc>
        <w:tc>
          <w:tcPr/>
          <w:p>
            <w:pPr>
              <w:pStyle w:val="Compact"/>
              <w:jc w:val="left"/>
            </w:pPr>
            <w:r>
              <w:rPr>
                <w:bCs/>
                <w:b/>
              </w:rPr>
              <w:t xml:space="preserve">Professor</w:t>
            </w:r>
            <w:r>
              <w:t xml:space="preserve"> </w:t>
            </w:r>
            <w:r>
              <w:t xml:space="preserve">Dedicated Technical Support — 24/7 priority support line, on-call engineer stationed in Bogotá, and quarterly system health audits for 12 months</w:t>
            </w:r>
          </w:p>
        </w:tc>
        <w:tc>
          <w:tcPr/>
          <w:p>
            <w:pPr>
              <w:pStyle w:val="Compact"/>
              <w:jc w:val="left"/>
            </w:pPr>
            <w:r>
              <w:t xml:space="preserve">12</w:t>
            </w:r>
          </w:p>
        </w:tc>
        <w:tc>
          <w:tcPr/>
          <w:p>
            <w:pPr>
              <w:pStyle w:val="Compact"/>
              <w:jc w:val="left"/>
            </w:pPr>
            <w:r>
              <w:t xml:space="preserve">4,200,000</w:t>
            </w:r>
          </w:p>
        </w:tc>
        <w:tc>
          <w:tcPr/>
          <w:p>
            <w:pPr>
              <w:pStyle w:val="Compact"/>
              <w:jc w:val="left"/>
            </w:pPr>
            <w:r>
              <w:t xml:space="preserve">50,400,000</w:t>
            </w:r>
          </w:p>
        </w:tc>
      </w:tr>
      <w:tr>
        <w:tc>
          <w:tcPr/>
          <w:p>
            <w:pPr>
              <w:pStyle w:val="Compact"/>
              <w:jc w:val="left"/>
            </w:pPr>
            <w:r>
              <w:t xml:space="preserve">006</w:t>
            </w:r>
          </w:p>
        </w:tc>
        <w:tc>
          <w:tcPr/>
          <w:p>
            <w:pPr>
              <w:pStyle w:val="Compact"/>
              <w:jc w:val="left"/>
            </w:pPr>
            <w:r>
              <w:rPr>
                <w:bCs/>
                <w:b/>
              </w:rPr>
              <w:t xml:space="preserve">Professor</w:t>
            </w:r>
            <w:r>
              <w:t xml:space="preserve"> </w:t>
            </w:r>
            <w:r>
              <w:t xml:space="preserve">Data Migration &amp; Legacy System Integration — Transfer of 15 years of academic records from legacy databases into the new</w:t>
            </w:r>
            <w:r>
              <w:t xml:space="preserve"> </w:t>
            </w:r>
            <w:r>
              <w:rPr>
                <w:bCs/>
                <w:b/>
              </w:rPr>
              <w:t xml:space="preserve">Professor</w:t>
            </w:r>
            <w:r>
              <w:t xml:space="preserve"> </w:t>
            </w:r>
            <w:r>
              <w:t xml:space="preserve">platform, including validation and quality assurance</w:t>
            </w:r>
          </w:p>
        </w:tc>
        <w:tc>
          <w:tcPr/>
          <w:p>
            <w:pPr>
              <w:pStyle w:val="Compact"/>
              <w:jc w:val="left"/>
            </w:pPr>
            <w:r>
              <w:t xml:space="preserve">1</w:t>
            </w:r>
          </w:p>
        </w:tc>
        <w:tc>
          <w:tcPr/>
          <w:p>
            <w:pPr>
              <w:pStyle w:val="Compact"/>
              <w:jc w:val="left"/>
            </w:pPr>
            <w:r>
              <w:t xml:space="preserve">47,800,000</w:t>
            </w:r>
          </w:p>
        </w:tc>
        <w:tc>
          <w:tcPr/>
          <w:p>
            <w:pPr>
              <w:pStyle w:val="Compact"/>
              <w:jc w:val="left"/>
            </w:pPr>
            <w:r>
              <w:t xml:space="preserve">47,800,000</w:t>
            </w:r>
          </w:p>
        </w:tc>
      </w:tr>
      <w:tr>
        <w:tc>
          <w:tcPr/>
          <w:p>
            <w:pPr>
              <w:pStyle w:val="Compact"/>
              <w:jc w:val="left"/>
            </w:pPr>
            <w:r>
              <w:t xml:space="preserve">007</w:t>
            </w:r>
          </w:p>
        </w:tc>
        <w:tc>
          <w:tcPr/>
          <w:p>
            <w:pPr>
              <w:pStyle w:val="Compact"/>
              <w:jc w:val="left"/>
            </w:pPr>
            <w:r>
              <w:rPr>
                <w:bCs/>
                <w:b/>
              </w:rPr>
              <w:t xml:space="preserve">Professor</w:t>
            </w:r>
            <w:r>
              <w:t xml:space="preserve"> </w:t>
            </w:r>
            <w:r>
              <w:t xml:space="preserve">Mobile Application License — iOS and Android access for students and faculty, with offline capability for areas in Bogotá with limited connectivity</w:t>
            </w:r>
          </w:p>
        </w:tc>
        <w:tc>
          <w:tcPr/>
          <w:p>
            <w:pPr>
              <w:pStyle w:val="Compact"/>
              <w:jc w:val="left"/>
            </w:pPr>
            <w:r>
              <w:t xml:space="preserve">500</w:t>
            </w:r>
          </w:p>
        </w:tc>
        <w:tc>
          <w:tcPr/>
          <w:p>
            <w:pPr>
              <w:pStyle w:val="Compact"/>
              <w:jc w:val="left"/>
            </w:pPr>
            <w:r>
              <w:t xml:space="preserve">350,000</w:t>
            </w:r>
          </w:p>
        </w:tc>
        <w:tc>
          <w:tcPr/>
          <w:p>
            <w:pPr>
              <w:pStyle w:val="Compact"/>
              <w:jc w:val="left"/>
            </w:pPr>
            <w:r>
              <w:t xml:space="preserve">175,000,000</w:t>
            </w:r>
          </w:p>
        </w:tc>
      </w:tr>
      <w:tr>
        <w:tc>
          <w:tcPr>
            <w:gridSpan w:val="4"/>
          </w:tcPr>
          <w:p>
            <w:pPr>
              <w:pStyle w:val="Compact"/>
              <w:jc w:val="right"/>
            </w:pPr>
            <w:r>
              <w:t xml:space="preserve">Subtotal:</w:t>
            </w:r>
          </w:p>
        </w:tc>
        <w:tc>
          <w:tcPr/>
          <w:p>
            <w:pPr>
              <w:pStyle w:val="Compact"/>
              <w:jc w:val="left"/>
            </w:pPr>
            <w:r>
              <w:t xml:space="preserve">947,700,000</w:t>
            </w:r>
          </w:p>
        </w:tc>
      </w:tr>
      <w:tr>
        <w:tc>
          <w:tcPr>
            <w:gridSpan w:val="4"/>
          </w:tcPr>
          <w:p>
            <w:pPr>
              <w:pStyle w:val="Compact"/>
              <w:jc w:val="right"/>
            </w:pPr>
            <w:r>
              <w:t xml:space="preserve">IVA (19% — Colombian Value Added Tax):</w:t>
            </w:r>
          </w:p>
        </w:tc>
        <w:tc>
          <w:tcPr/>
          <w:p>
            <w:pPr>
              <w:pStyle w:val="Compact"/>
              <w:jc w:val="left"/>
            </w:pPr>
            <w:r>
              <w:t xml:space="preserve">179,963,000</w:t>
            </w:r>
          </w:p>
        </w:tc>
      </w:tr>
      <w:tr>
        <w:tc>
          <w:tcPr>
            <w:gridSpan w:val="4"/>
          </w:tcPr>
          <w:p>
            <w:pPr>
              <w:pStyle w:val="Compact"/>
              <w:jc w:val="right"/>
            </w:pPr>
            <w:r>
              <w:rPr>
                <w:bCs/>
                <w:b/>
              </w:rPr>
              <w:t xml:space="preserve">GRAND TOTAL (COP):</w:t>
            </w:r>
          </w:p>
        </w:tc>
        <w:tc>
          <w:tcPr/>
          <w:p>
            <w:pPr>
              <w:pStyle w:val="Compact"/>
              <w:jc w:val="left"/>
            </w:pPr>
            <w:r>
              <w:rPr>
                <w:bCs/>
                <w:b/>
              </w:rPr>
              <w:t xml:space="preserve">1,127,663,000</w:t>
            </w:r>
          </w:p>
        </w:tc>
      </w:tr>
    </w:tbl>
    <w:bookmarkEnd w:id="24"/>
    <w:bookmarkStart w:id="25" w:name="terms-and-conditions"/>
    <w:p>
      <w:pPr>
        <w:pStyle w:val="Heading2"/>
      </w:pPr>
      <w:r>
        <w:t xml:space="preserve">Terms and Conditions</w:t>
      </w:r>
    </w:p>
    <w:p>
      <w:pPr>
        <w:numPr>
          <w:ilvl w:val="0"/>
          <w:numId w:val="1001"/>
        </w:numPr>
        <w:pStyle w:val="Compact"/>
      </w:pPr>
      <w:r>
        <w:t xml:space="preserve">This</w:t>
      </w:r>
      <w:r>
        <w:t xml:space="preserve"> </w:t>
      </w:r>
      <w:r>
        <w:rPr>
          <w:bCs/>
          <w:b/>
        </w:rPr>
        <w:t xml:space="preserve">Purchase Order</w:t>
      </w:r>
      <w:r>
        <w:t xml:space="preserve"> </w:t>
      </w:r>
      <w:r>
        <w:t xml:space="preserve">is issued in accordance with Colombian public procurement regulations (Ley 80 de 1993 and Ley 1150 de 2007) and the internal procurement policies of the Universidad Nacional de Colombia. All transactions are governed by the civil and commercial law of the Republic of Colombia.</w:t>
      </w:r>
    </w:p>
    <w:p>
      <w:pPr>
        <w:numPr>
          <w:ilvl w:val="0"/>
          <w:numId w:val="1001"/>
        </w:numPr>
        <w:pStyle w:val="Compact"/>
      </w:pPr>
      <w:r>
        <w:t xml:space="preserve">The</w:t>
      </w:r>
      <w:r>
        <w:t xml:space="preserve"> </w:t>
      </w:r>
      <w:r>
        <w:rPr>
          <w:bCs/>
          <w:b/>
        </w:rPr>
        <w:t xml:space="preserve">Professor</w:t>
      </w:r>
      <w:r>
        <w:t xml:space="preserve"> </w:t>
      </w:r>
      <w:r>
        <w:t xml:space="preserve">platform and all associated services shall be delivered, installed, and made fully operational at the Universidad Nacional de Colombia campus located in Bogotá D.C., Colombia, no later than 15 August 2025. Any delay beyond this date shall incur a penalty of 0.5% of the total contract value per calendar day of delay, up to a maximum of 10%.</w:t>
      </w:r>
    </w:p>
    <w:p>
      <w:pPr>
        <w:numPr>
          <w:ilvl w:val="0"/>
          <w:numId w:val="1001"/>
        </w:numPr>
        <w:pStyle w:val="Compact"/>
      </w:pPr>
      <w:r>
        <w:t xml:space="preserve">All</w:t>
      </w:r>
      <w:r>
        <w:t xml:space="preserve"> </w:t>
      </w:r>
      <w:r>
        <w:rPr>
          <w:bCs/>
          <w:b/>
        </w:rPr>
        <w:t xml:space="preserve">Professor</w:t>
      </w:r>
      <w:r>
        <w:t xml:space="preserve"> </w:t>
      </w:r>
      <w:r>
        <w:t xml:space="preserve">software licenses are perpetual for the initial deployment year, with renewal terms to be negotiated separately. The vendor guarantees that the</w:t>
      </w:r>
      <w:r>
        <w:t xml:space="preserve"> </w:t>
      </w:r>
      <w:r>
        <w:rPr>
          <w:bCs/>
          <w:b/>
        </w:rPr>
        <w:t xml:space="preserve">Professor</w:t>
      </w:r>
      <w:r>
        <w:t xml:space="preserve"> </w:t>
      </w:r>
      <w:r>
        <w:t xml:space="preserve">platform shall comply with all data protection requirements established by Ley 1581 de 2012 (Colombian Data Protection Law) and the regulations issued by the Superintendencia de Industria y Comercio.</w:t>
      </w:r>
    </w:p>
    <w:p>
      <w:pPr>
        <w:numPr>
          <w:ilvl w:val="0"/>
          <w:numId w:val="1001"/>
        </w:numPr>
        <w:pStyle w:val="Compact"/>
      </w:pPr>
      <w:r>
        <w:t xml:space="preserve">Payment shall be made in Colombian Pesos (COP) via electronic bank transfer (EFT) to the vendor's designated account in Bogotá. Invoices must include the vendor's NIT, the applicable IVA (19%), and a reference to this</w:t>
      </w:r>
      <w:r>
        <w:t xml:space="preserve"> </w:t>
      </w:r>
      <w:r>
        <w:rPr>
          <w:bCs/>
          <w:b/>
        </w:rPr>
        <w:t xml:space="preserve">Purchase Order</w:t>
      </w:r>
      <w:r>
        <w:t xml:space="preserve"> </w:t>
      </w:r>
      <w:r>
        <w:t xml:space="preserve">number (PO-COL-BOG-2025-004782). Payment is due within thirty (30) calendar days from the date of invoice receipt and acceptance of deliverables.</w:t>
      </w:r>
    </w:p>
    <w:p>
      <w:pPr>
        <w:numPr>
          <w:ilvl w:val="0"/>
          <w:numId w:val="1001"/>
        </w:numPr>
        <w:pStyle w:val="Compact"/>
      </w:pPr>
      <w:r>
        <w:t xml:space="preserve">The vendor shall assign a dedicated project manager based in</w:t>
      </w:r>
      <w:r>
        <w:t xml:space="preserve"> </w:t>
      </w:r>
      <w:r>
        <w:rPr>
          <w:bCs/>
          <w:b/>
        </w:rPr>
        <w:t xml:space="preserve">Colombia Bogotá</w:t>
      </w:r>
      <w:r>
        <w:t xml:space="preserve"> </w:t>
      </w:r>
      <w:r>
        <w:t xml:space="preserve">who shall serve as the primary point of contact for all coordination, reporting, and issue resolution. All on-site activities, including installation, training, and support, shall be conducted at the Bogotá campus during regular business hours (Monday to Friday, 8:00 AM to 5:00 PM, Colombian time, GMT-5).</w:t>
      </w:r>
    </w:p>
    <w:p>
      <w:pPr>
        <w:numPr>
          <w:ilvl w:val="0"/>
          <w:numId w:val="1001"/>
        </w:numPr>
        <w:pStyle w:val="Compact"/>
      </w:pPr>
      <w:r>
        <w:t xml:space="preserve">All intellectual property rights associated with the</w:t>
      </w:r>
      <w:r>
        <w:t xml:space="preserve"> </w:t>
      </w:r>
      <w:r>
        <w:rPr>
          <w:bCs/>
          <w:b/>
        </w:rPr>
        <w:t xml:space="preserve">Professor</w:t>
      </w:r>
      <w:r>
        <w:t xml:space="preserve"> </w:t>
      </w:r>
      <w:r>
        <w:t xml:space="preserve">platform remain with Professor Solutions International S.A.S. The university is granted a non-exclusive, non-transferable license to use the</w:t>
      </w:r>
      <w:r>
        <w:t xml:space="preserve"> </w:t>
      </w:r>
      <w:r>
        <w:rPr>
          <w:bCs/>
          <w:b/>
        </w:rPr>
        <w:t xml:space="preserve">Professor</w:t>
      </w:r>
      <w:r>
        <w:t xml:space="preserve"> </w:t>
      </w:r>
      <w:r>
        <w:t xml:space="preserve">system for internal academic and administrative purposes within its Bogotá facilities and affiliated campuses in Colombia.</w:t>
      </w:r>
    </w:p>
    <w:p>
      <w:pPr>
        <w:numPr>
          <w:ilvl w:val="0"/>
          <w:numId w:val="1001"/>
        </w:numPr>
        <w:pStyle w:val="Compact"/>
      </w:pPr>
      <w:r>
        <w:t xml:space="preserve">Warranty: The vendor provides a twelve (12) month warranty on all hardware components and a six (6) month warranty on all software deliverables from the date of final acceptance. During the warranty period, all repairs, patches, and updates to the</w:t>
      </w:r>
      <w:r>
        <w:t xml:space="preserve"> </w:t>
      </w:r>
      <w:r>
        <w:rPr>
          <w:bCs/>
          <w:b/>
        </w:rPr>
        <w:t xml:space="preserve">Professor</w:t>
      </w:r>
      <w:r>
        <w:t xml:space="preserve"> </w:t>
      </w:r>
      <w:r>
        <w:t xml:space="preserve">platform shall be provided at no additional cost.</w:t>
      </w:r>
    </w:p>
    <w:p>
      <w:pPr>
        <w:numPr>
          <w:ilvl w:val="0"/>
          <w:numId w:val="1001"/>
        </w:numPr>
        <w:pStyle w:val="Compact"/>
      </w:pPr>
      <w:r>
        <w:t xml:space="preserve">Confidentiality: Both parties agree to maintain strict confidentiality regarding all academic data, student records, and institutional information processed through the</w:t>
      </w:r>
      <w:r>
        <w:t xml:space="preserve"> </w:t>
      </w:r>
      <w:r>
        <w:rPr>
          <w:bCs/>
          <w:b/>
        </w:rPr>
        <w:t xml:space="preserve">Professor</w:t>
      </w:r>
      <w:r>
        <w:t xml:space="preserve"> </w:t>
      </w:r>
      <w:r>
        <w:t xml:space="preserve">platform. No data shall be stored on servers outside the territory of Colombia without prior written authorization from the university's data protection officer.</w:t>
      </w:r>
    </w:p>
    <w:p>
      <w:pPr>
        <w:numPr>
          <w:ilvl w:val="0"/>
          <w:numId w:val="1001"/>
        </w:numPr>
        <w:pStyle w:val="Compact"/>
      </w:pPr>
      <w:r>
        <w:t xml:space="preserve">Dispute Resolution: Any dispute arising from this</w:t>
      </w:r>
      <w:r>
        <w:t xml:space="preserve"> </w:t>
      </w:r>
      <w:r>
        <w:rPr>
          <w:bCs/>
          <w:b/>
        </w:rPr>
        <w:t xml:space="preserve">Purchase Order</w:t>
      </w:r>
      <w:r>
        <w:t xml:space="preserve"> </w:t>
      </w:r>
      <w:r>
        <w:t xml:space="preserve">shall first be subject to good-faith negotiation between the parties. If unresolved within thirty (30) days, the matter shall be submitted to the competent commercial courts of</w:t>
      </w:r>
      <w:r>
        <w:t xml:space="preserve"> </w:t>
      </w:r>
      <w:r>
        <w:rPr>
          <w:bCs/>
          <w:b/>
        </w:rPr>
        <w:t xml:space="preserve">Colombia Bogotá</w:t>
      </w:r>
      <w:r>
        <w:t xml:space="preserve">, D.C. The parties waive any right to arbitration in foreign jurisdictions.</w:t>
      </w:r>
    </w:p>
    <w:p>
      <w:pPr>
        <w:numPr>
          <w:ilvl w:val="0"/>
          <w:numId w:val="1001"/>
        </w:numPr>
        <w:pStyle w:val="Compact"/>
      </w:pPr>
      <w:r>
        <w:t xml:space="preserve">This</w:t>
      </w:r>
      <w:r>
        <w:t xml:space="preserve"> </w:t>
      </w:r>
      <w:r>
        <w:rPr>
          <w:bCs/>
          <w:b/>
        </w:rPr>
        <w:t xml:space="preserve">Purchase Order</w:t>
      </w:r>
      <w:r>
        <w:t xml:space="preserve"> </w:t>
      </w:r>
      <w:r>
        <w:t xml:space="preserve">becomes effective upon signature by both authorized representatives. Amendments to this document must be made in writing and signed by both parties. This document is executed in two (2) original copies, one for each party, both having equal legal validity under Colombian law.</w:t>
      </w:r>
    </w:p>
    <w:bookmarkEnd w:id="25"/>
    <w:bookmarkStart w:id="26" w:name="acceptance-authorization"/>
    <w:p>
      <w:pPr>
        <w:pStyle w:val="Heading2"/>
      </w:pPr>
      <w:r>
        <w:t xml:space="preserve">Acceptance &amp; Authorization</w:t>
      </w:r>
    </w:p>
    <w:p>
      <w:pPr>
        <w:pStyle w:val="FirstParagraph"/>
      </w:pPr>
      <w:r>
        <w:rPr>
          <w:bCs/>
          <w:b/>
        </w:rPr>
        <w:t xml:space="preserve">For the Purchasing Entity</w:t>
      </w:r>
    </w:p>
    <w:p>
      <w:pPr>
        <w:pStyle w:val="BodyText"/>
      </w:pPr>
      <w:r>
        <w:t xml:space="preserve">Universidad Nacional de Colombia</w:t>
      </w:r>
    </w:p>
    <w:p>
      <w:pPr>
        <w:pStyle w:val="BodyText"/>
      </w:pPr>
      <w:r>
        <w:t xml:space="preserve">Dr. Alejandro Restrepo M.</w:t>
      </w:r>
    </w:p>
    <w:p>
      <w:pPr>
        <w:pStyle w:val="BodyText"/>
      </w:pPr>
      <w:r>
        <w:t xml:space="preserve">Consejero Académico</w:t>
      </w:r>
    </w:p>
    <w:p>
      <w:pPr>
        <w:pStyle w:val="BodyText"/>
      </w:pPr>
      <w:r>
        <w:t xml:space="preserve">Date: _______________</w:t>
      </w:r>
    </w:p>
    <w:p>
      <w:pPr>
        <w:pStyle w:val="BodyText"/>
      </w:pPr>
      <w:r>
        <w:rPr>
          <w:bCs/>
          <w:b/>
        </w:rPr>
        <w:t xml:space="preserve">For the Vendor / Supplier</w:t>
      </w:r>
    </w:p>
    <w:p>
      <w:pPr>
        <w:pStyle w:val="BodyText"/>
      </w:pPr>
      <w:r>
        <w:t xml:space="preserve">Professor Solutions International S.A.S.</w:t>
      </w:r>
    </w:p>
    <w:p>
      <w:pPr>
        <w:pStyle w:val="BodyText"/>
      </w:pPr>
      <w:r>
        <w:t xml:space="preserve">Ing. Carolina Méndez V.</w:t>
      </w:r>
    </w:p>
    <w:p>
      <w:pPr>
        <w:pStyle w:val="BodyText"/>
      </w:pPr>
      <w:r>
        <w:t xml:space="preserve">Gerente Comercial — Colombia</w:t>
      </w:r>
    </w:p>
    <w:p>
      <w:pPr>
        <w:pStyle w:val="BodyText"/>
      </w:pPr>
      <w:r>
        <w:t xml:space="preserve">Date: _______________</w:t>
      </w:r>
    </w:p>
    <w:p>
      <w:pPr>
        <w:pStyle w:val="BodyText"/>
      </w:pPr>
      <w:r>
        <w:t xml:space="preserve">This</w:t>
      </w:r>
      <w:r>
        <w:t xml:space="preserve"> </w:t>
      </w:r>
      <w:r>
        <w:rPr>
          <w:bCs/>
          <w:b/>
        </w:rPr>
        <w:t xml:space="preserve">Purchase Order</w:t>
      </w:r>
      <w:r>
        <w:t xml:space="preserve"> </w:t>
      </w:r>
      <w:r>
        <w:t xml:space="preserve">(PO-COL-BOG-2025-004782) is a legally binding document issued under the procurement framework of the Universidad Nacional de Colombia, Bogotá D.C., Colombia. The</w:t>
      </w:r>
      <w:r>
        <w:t xml:space="preserve"> </w:t>
      </w:r>
      <w:r>
        <w:rPr>
          <w:bCs/>
          <w:b/>
        </w:rPr>
        <w:t xml:space="preserve">Professor</w:t>
      </w:r>
      <w:r>
        <w:t xml:space="preserve"> </w:t>
      </w:r>
      <w:r>
        <w:t xml:space="preserve">platform and all services described herein are subject to the terms stated above and applicable Colombian legislation. Document generated on 15 June 2025. For inquiries, contact the Oficina de Contrataciones at contrataciones@unal.edu.co or visit Cra. 30 #45-03, Ciudad Universitaria, Bogotá D.C., Colombia.</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Professor Platform - Colombia Bogotá</dc:title>
  <dc:creator/>
  <dc:language>en</dc:language>
  <cp:keywords/>
  <dcterms:created xsi:type="dcterms:W3CDTF">2026-10-10T04:21:57Z</dcterms:created>
  <dcterms:modified xsi:type="dcterms:W3CDTF">2026-10-10T04:21:57Z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