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w:t>
      </w:r>
      <w:r>
        <w:t xml:space="preserve"> </w:t>
      </w:r>
      <w:r>
        <w:t xml:space="preserve">Dr.</w:t>
      </w:r>
      <w:r>
        <w:t xml:space="preserve"> </w:t>
      </w:r>
      <w:r>
        <w:t xml:space="preserve">Heinrich</w:t>
      </w:r>
      <w:r>
        <w:t xml:space="preserve"> </w:t>
      </w:r>
      <w:r>
        <w:t xml:space="preserve">Vogel</w:t>
      </w:r>
      <w:r>
        <w:t xml:space="preserve"> </w:t>
      </w:r>
      <w:r>
        <w:t xml:space="preserve">-</w:t>
      </w:r>
      <w:r>
        <w:t xml:space="preserve"> </w:t>
      </w:r>
      <w:r>
        <w:t xml:space="preserve">Goethe-Universität</w:t>
      </w:r>
      <w:r>
        <w:t xml:space="preserve"> </w:t>
      </w:r>
      <w:r>
        <w:t xml:space="preserve">Frankfurt</w:t>
      </w:r>
    </w:p>
    <w:bookmarkStart w:id="20" w:name="purchase-order"/>
    <w:p>
      <w:pPr>
        <w:pStyle w:val="Heading1"/>
      </w:pPr>
      <w:r>
        <w:t xml:space="preserve">PURCHASE ORDER</w:t>
      </w:r>
    </w:p>
    <w:p>
      <w:pPr>
        <w:pStyle w:val="FirstParagraph"/>
      </w:pPr>
      <w:r>
        <w:t xml:space="preserve">Goethe-Universität Frankfurt am Main – Faculty of Natural Sciences</w:t>
      </w:r>
    </w:p>
    <w:p>
      <w:pPr>
        <w:pStyle w:val="BodyText"/>
      </w:pPr>
      <w:r>
        <w:t xml:space="preserve">Purchasing Department, Campus Bockenheim, Theodor-W.-Adorno-Platz 3, 60323 Frankfurt, Germany</w:t>
      </w:r>
    </w:p>
    <w:bookmarkEnd w:id="20"/>
    <w:bookmarkStart w:id="21" w:name="purchase-order-details"/>
    <w:p>
      <w:pPr>
        <w:pStyle w:val="Heading2"/>
      </w:pPr>
      <w:r>
        <w:t xml:space="preserve">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No.:</w:t>
            </w:r>
          </w:p>
        </w:tc>
        <w:tc>
          <w:tcPr/>
          <w:p>
            <w:pPr>
              <w:pStyle w:val="Compact"/>
              <w:jc w:val="left"/>
            </w:pPr>
            <w:r>
              <w:t xml:space="preserve">PO-FRA-2025-04871</w:t>
            </w:r>
          </w:p>
        </w:tc>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Requested By:</w:t>
            </w:r>
          </w:p>
        </w:tc>
        <w:tc>
          <w:tcPr/>
          <w:p>
            <w:pPr>
              <w:pStyle w:val="Compact"/>
              <w:jc w:val="left"/>
            </w:pPr>
            <w:r>
              <w:t xml:space="preserve">Professor Dr. Heinrich Vogel, Chair of Applied Physics</w:t>
            </w:r>
          </w:p>
        </w:tc>
        <w:tc>
          <w:tcPr/>
          <w:p>
            <w:pPr>
              <w:pStyle w:val="Compact"/>
              <w:jc w:val="left"/>
            </w:pPr>
            <w:r>
              <w:rPr>
                <w:bCs/>
                <w:b/>
              </w:rPr>
              <w:t xml:space="preserve">Department:</w:t>
            </w:r>
          </w:p>
        </w:tc>
        <w:tc>
          <w:tcPr/>
          <w:p>
            <w:pPr>
              <w:pStyle w:val="Compact"/>
              <w:jc w:val="left"/>
            </w:pPr>
            <w:r>
              <w:t xml:space="preserve">Institute of Physics, Goethe-Universität Frankfurt</w:t>
            </w:r>
          </w:p>
        </w:tc>
      </w:tr>
      <w:tr>
        <w:tc>
          <w:tcPr/>
          <w:p>
            <w:pPr>
              <w:pStyle w:val="Compact"/>
              <w:jc w:val="left"/>
            </w:pPr>
            <w:r>
              <w:rPr>
                <w:bCs/>
                <w:b/>
              </w:rPr>
              <w:t xml:space="preserve">Delivery Address:</w:t>
            </w:r>
          </w:p>
        </w:tc>
        <w:tc>
          <w:tcPr>
            <w:gridSpan w:val="3"/>
          </w:tcPr>
          <w:p>
            <w:pPr>
              <w:pStyle w:val="Compact"/>
              <w:jc w:val="left"/>
            </w:pPr>
            <w:r>
              <w:t xml:space="preserve">Goethe-Universität Frankfurt, Campus Bockenheim, Theodor-W.-Adorno-Platz 3, 60323 Frankfurt am Main, Germany</w:t>
            </w:r>
          </w:p>
        </w:tc>
      </w:tr>
      <w:tr>
        <w:tc>
          <w:tcPr/>
          <w:p>
            <w:pPr>
              <w:pStyle w:val="Compact"/>
              <w:jc w:val="left"/>
            </w:pPr>
            <w:r>
              <w:rPr>
                <w:bCs/>
                <w:b/>
              </w:rPr>
              <w:t xml:space="preserve">Delivery Deadline:</w:t>
            </w:r>
          </w:p>
        </w:tc>
        <w:tc>
          <w:tcPr/>
          <w:p>
            <w:pPr>
              <w:pStyle w:val="Compact"/>
              <w:jc w:val="left"/>
            </w:pPr>
            <w:r>
              <w:t xml:space="preserve">01 August 2025</w:t>
            </w:r>
          </w:p>
        </w:tc>
        <w:tc>
          <w:tcPr/>
          <w:p>
            <w:pPr>
              <w:pStyle w:val="Compact"/>
              <w:jc w:val="left"/>
            </w:pPr>
            <w:r>
              <w:rPr>
                <w:bCs/>
                <w:b/>
              </w:rPr>
              <w:t xml:space="preserve">Payment Terms:</w:t>
            </w:r>
          </w:p>
        </w:tc>
        <w:tc>
          <w:tcPr/>
          <w:p>
            <w:pPr>
              <w:pStyle w:val="Compact"/>
              <w:jc w:val="left"/>
            </w:pPr>
            <w:r>
              <w:t xml:space="preserve">Net 30 days from invoice date (per German commercial law, HGB § 362)</w:t>
            </w:r>
          </w:p>
        </w:tc>
      </w:tr>
    </w:tbl>
    <w:bookmarkEnd w:id="21"/>
    <w:bookmarkStart w:id="22" w:name="supplier-information"/>
    <w:p>
      <w:pPr>
        <w:pStyle w:val="Heading2"/>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p>
        </w:tc>
        <w:tc>
          <w:tcPr/>
          <w:p>
            <w:pPr>
              <w:pStyle w:val="Compact"/>
              <w:jc w:val="left"/>
            </w:pPr>
            <w:r>
              <w:t xml:space="preserve">LabTech Scientific GmbH</w:t>
            </w:r>
          </w:p>
        </w:tc>
      </w:tr>
      <w:tr>
        <w:tc>
          <w:tcPr/>
          <w:p>
            <w:pPr>
              <w:pStyle w:val="Compact"/>
              <w:jc w:val="left"/>
            </w:pPr>
            <w:r>
              <w:rPr>
                <w:bCs/>
                <w:b/>
              </w:rPr>
              <w:t xml:space="preserve">Address:</w:t>
            </w:r>
          </w:p>
        </w:tc>
        <w:tc>
          <w:tcPr/>
          <w:p>
            <w:pPr>
              <w:pStyle w:val="Compact"/>
              <w:jc w:val="left"/>
            </w:pPr>
            <w:r>
              <w:t xml:space="preserve">Industriestraße 42, 60596 Frankfurt am Main, Germany</w:t>
            </w:r>
          </w:p>
        </w:tc>
      </w:tr>
      <w:tr>
        <w:tc>
          <w:tcPr/>
          <w:p>
            <w:pPr>
              <w:pStyle w:val="Compact"/>
              <w:jc w:val="left"/>
            </w:pPr>
            <w:r>
              <w:rPr>
                <w:bCs/>
                <w:b/>
              </w:rPr>
              <w:t xml:space="preserve">Contact Person:</w:t>
            </w:r>
          </w:p>
        </w:tc>
        <w:tc>
          <w:tcPr/>
          <w:p>
            <w:pPr>
              <w:pStyle w:val="Compact"/>
              <w:jc w:val="left"/>
            </w:pPr>
            <w:r>
              <w:t xml:space="preserve">Ms. Katrin Berger, Sales Director</w:t>
            </w:r>
          </w:p>
        </w:tc>
      </w:tr>
      <w:tr>
        <w:tc>
          <w:tcPr/>
          <w:p>
            <w:pPr>
              <w:pStyle w:val="Compact"/>
              <w:jc w:val="left"/>
            </w:pPr>
            <w:r>
              <w:rPr>
                <w:bCs/>
                <w:b/>
              </w:rPr>
              <w:t xml:space="preserve">Email / Phone:</w:t>
            </w:r>
          </w:p>
        </w:tc>
        <w:tc>
          <w:tcPr/>
          <w:p>
            <w:pPr>
              <w:pStyle w:val="Compact"/>
              <w:jc w:val="left"/>
            </w:pPr>
            <w:r>
              <w:t xml:space="preserve">k.berger@labtech-scientific.de / +49 69 4455 7820</w:t>
            </w:r>
          </w:p>
        </w:tc>
      </w:tr>
      <w:tr>
        <w:tc>
          <w:tcPr/>
          <w:p>
            <w:pPr>
              <w:pStyle w:val="Compact"/>
              <w:jc w:val="left"/>
            </w:pPr>
            <w:r>
              <w:rPr>
                <w:bCs/>
                <w:b/>
              </w:rPr>
              <w:t xml:space="preserve">VAT ID (USt-IdNr.):</w:t>
            </w:r>
          </w:p>
        </w:tc>
        <w:tc>
          <w:tcPr/>
          <w:p>
            <w:pPr>
              <w:pStyle w:val="Compact"/>
              <w:jc w:val="left"/>
            </w:pPr>
            <w:r>
              <w:t xml:space="preserve">DE 298 441 773</w:t>
            </w:r>
          </w:p>
        </w:tc>
      </w:tr>
    </w:tbl>
    <w:bookmarkEnd w:id="22"/>
    <w:bookmarkStart w:id="23" w:name="Xdfbff6dd6b4655d0c2e61d640bfc19b157e2694"/>
    <w:p>
      <w:pPr>
        <w:pStyle w:val="Heading2"/>
      </w:pPr>
      <w:r>
        <w:t xml:space="preserve">Line Items – Equipment and Materials for Professor Vogel's Research Laboratory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(EUR)</w:t>
            </w:r>
          </w:p>
        </w:tc>
        <w:tc>
          <w:tcPr/>
          <w:p>
            <w:pPr>
              <w:pStyle w:val="Compact"/>
              <w:jc w:val="right"/>
            </w:pPr>
            <w:r>
              <w:t xml:space="preserve">Total (EUR)</w:t>
            </w:r>
          </w:p>
        </w:tc>
      </w:tr>
      <w:tr>
        <w:tc>
          <w:tcPr/>
          <w:p>
            <w:pPr>
              <w:pStyle w:val="Compact"/>
              <w:jc w:val="left"/>
            </w:pPr>
            <w:r>
              <w:t xml:space="preserve">01</w:t>
            </w:r>
          </w:p>
        </w:tc>
        <w:tc>
          <w:tcPr/>
          <w:p>
            <w:pPr>
              <w:pStyle w:val="Compact"/>
              <w:jc w:val="left"/>
            </w:pPr>
            <w:r>
              <w:t xml:space="preserve">High-Resolution Spectrometer, Model HR-7200, with calibration kit and software license for Professor Vogel's quantum optics research group</w:t>
            </w:r>
          </w:p>
        </w:tc>
        <w:tc>
          <w:tcPr/>
          <w:p>
            <w:pPr>
              <w:pStyle w:val="Compact"/>
              <w:jc w:val="center"/>
            </w:pPr>
            <w:r>
              <w:t xml:space="preserve">1</w:t>
            </w:r>
          </w:p>
        </w:tc>
        <w:tc>
          <w:tcPr/>
          <w:p>
            <w:pPr>
              <w:pStyle w:val="Compact"/>
              <w:jc w:val="right"/>
            </w:pPr>
            <w:r>
              <w:t xml:space="preserve">48,500.00</w:t>
            </w:r>
          </w:p>
        </w:tc>
        <w:tc>
          <w:tcPr/>
          <w:p>
            <w:pPr>
              <w:pStyle w:val="Compact"/>
              <w:jc w:val="right"/>
            </w:pPr>
            <w:r>
              <w:t xml:space="preserve">48,500.00</w:t>
            </w:r>
          </w:p>
        </w:tc>
      </w:tr>
      <w:tr>
        <w:tc>
          <w:tcPr/>
          <w:p>
            <w:pPr>
              <w:pStyle w:val="Compact"/>
              <w:jc w:val="left"/>
            </w:pPr>
            <w:r>
              <w:t xml:space="preserve">02</w:t>
            </w:r>
          </w:p>
        </w:tc>
        <w:tc>
          <w:tcPr/>
          <w:p>
            <w:pPr>
              <w:pStyle w:val="Compact"/>
              <w:jc w:val="left"/>
            </w:pPr>
            <w:r>
              <w:t xml:space="preserve">Cryogenic Cooling Unit, 4K Helium-3 Refrigerator, for low-temperature experiments in the Professor's laboratory at Campus Bockenheim</w:t>
            </w:r>
          </w:p>
        </w:tc>
        <w:tc>
          <w:tcPr/>
          <w:p>
            <w:pPr>
              <w:pStyle w:val="Compact"/>
              <w:jc w:val="center"/>
            </w:pPr>
            <w:r>
              <w:t xml:space="preserve">1</w:t>
            </w:r>
          </w:p>
        </w:tc>
        <w:tc>
          <w:tcPr/>
          <w:p>
            <w:pPr>
              <w:pStyle w:val="Compact"/>
              <w:jc w:val="right"/>
            </w:pPr>
            <w:r>
              <w:t xml:space="preserve">32,200.00</w:t>
            </w:r>
          </w:p>
        </w:tc>
        <w:tc>
          <w:tcPr/>
          <w:p>
            <w:pPr>
              <w:pStyle w:val="Compact"/>
              <w:jc w:val="right"/>
            </w:pPr>
            <w:r>
              <w:t xml:space="preserve">32,200.00</w:t>
            </w:r>
          </w:p>
        </w:tc>
      </w:tr>
      <w:tr>
        <w:tc>
          <w:tcPr/>
          <w:p>
            <w:pPr>
              <w:pStyle w:val="Compact"/>
              <w:jc w:val="left"/>
            </w:pPr>
            <w:r>
              <w:t xml:space="preserve">03</w:t>
            </w:r>
          </w:p>
        </w:tc>
        <w:tc>
          <w:tcPr/>
          <w:p>
            <w:pPr>
              <w:pStyle w:val="Compact"/>
              <w:jc w:val="left"/>
            </w:pPr>
            <w:r>
              <w:t xml:space="preserve">Anti-Vibration Optical Tables, 2000mm x 1200mm, with pneumatic isolation, for the Professor's photonics workstation</w:t>
            </w:r>
          </w:p>
        </w:tc>
        <w:tc>
          <w:tcPr/>
          <w:p>
            <w:pPr>
              <w:pStyle w:val="Compact"/>
              <w:jc w:val="center"/>
            </w:pPr>
            <w:r>
              <w:t xml:space="preserve">2</w:t>
            </w:r>
          </w:p>
        </w:tc>
        <w:tc>
          <w:tcPr/>
          <w:p>
            <w:pPr>
              <w:pStyle w:val="Compact"/>
              <w:jc w:val="right"/>
            </w:pPr>
            <w:r>
              <w:t xml:space="preserve">6,800.00</w:t>
            </w:r>
          </w:p>
        </w:tc>
        <w:tc>
          <w:tcPr/>
          <w:p>
            <w:pPr>
              <w:pStyle w:val="Compact"/>
              <w:jc w:val="right"/>
            </w:pPr>
            <w:r>
              <w:t xml:space="preserve">13,600.00</w:t>
            </w:r>
          </w:p>
        </w:tc>
      </w:tr>
      <w:tr>
        <w:tc>
          <w:tcPr/>
          <w:p>
            <w:pPr>
              <w:pStyle w:val="Compact"/>
              <w:jc w:val="left"/>
            </w:pPr>
            <w:r>
              <w:t xml:space="preserve">04</w:t>
            </w:r>
          </w:p>
        </w:tc>
        <w:tc>
          <w:tcPr/>
          <w:p>
            <w:pPr>
              <w:pStyle w:val="Compact"/>
              <w:jc w:val="left"/>
            </w:pPr>
            <w:r>
              <w:t xml:space="preserve">Set of 120 peer-reviewed academic journals and monographs on condensed matter physics, ordered for the Professor's departmental library</w:t>
            </w:r>
          </w:p>
        </w:tc>
        <w:tc>
          <w:tcPr/>
          <w:p>
            <w:pPr>
              <w:pStyle w:val="Compact"/>
              <w:jc w:val="center"/>
            </w:pPr>
            <w:r>
              <w:t xml:space="preserve">1</w:t>
            </w:r>
          </w:p>
        </w:tc>
        <w:tc>
          <w:tcPr/>
          <w:p>
            <w:pPr>
              <w:pStyle w:val="Compact"/>
              <w:jc w:val="right"/>
            </w:pPr>
            <w:r>
              <w:t xml:space="preserve">4,350.00</w:t>
            </w:r>
          </w:p>
        </w:tc>
        <w:tc>
          <w:tcPr/>
          <w:p>
            <w:pPr>
              <w:pStyle w:val="Compact"/>
              <w:jc w:val="right"/>
            </w:pPr>
            <w:r>
              <w:t xml:space="preserve">4,350.00</w:t>
            </w:r>
          </w:p>
        </w:tc>
      </w:tr>
      <w:tr>
        <w:tc>
          <w:tcPr/>
          <w:p>
            <w:pPr>
              <w:pStyle w:val="Compact"/>
              <w:jc w:val="left"/>
            </w:pPr>
            <w:r>
              <w:t xml:space="preserve">05</w:t>
            </w:r>
          </w:p>
        </w:tc>
        <w:tc>
          <w:tcPr/>
          <w:p>
            <w:pPr>
              <w:pStyle w:val="Compact"/>
              <w:jc w:val="left"/>
            </w:pPr>
            <w:r>
              <w:t xml:space="preserve">Data Acquisition System, 16-channel, 250 MHz, with German-language documentation, for the Professor's graduate student research program</w:t>
            </w:r>
          </w:p>
        </w:tc>
        <w:tc>
          <w:tcPr/>
          <w:p>
            <w:pPr>
              <w:pStyle w:val="Compact"/>
              <w:jc w:val="center"/>
            </w:pPr>
            <w:r>
              <w:t xml:space="preserve">1</w:t>
            </w:r>
          </w:p>
        </w:tc>
        <w:tc>
          <w:tcPr/>
          <w:p>
            <w:pPr>
              <w:pStyle w:val="Compact"/>
              <w:jc w:val="right"/>
            </w:pPr>
            <w:r>
              <w:t xml:space="preserve">11,750.00</w:t>
            </w:r>
          </w:p>
        </w:tc>
        <w:tc>
          <w:tcPr/>
          <w:p>
            <w:pPr>
              <w:pStyle w:val="Compact"/>
              <w:jc w:val="right"/>
            </w:pPr>
            <w:r>
              <w:t xml:space="preserve">11,750.00</w:t>
            </w:r>
          </w:p>
        </w:tc>
      </w:tr>
      <w:tr>
        <w:tc>
          <w:tcPr/>
          <w:p>
            <w:pPr>
              <w:pStyle w:val="Compact"/>
              <w:jc w:val="left"/>
            </w:pPr>
            <w:r>
              <w:t xml:space="preserve">06</w:t>
            </w:r>
          </w:p>
        </w:tc>
        <w:tc>
          <w:tcPr/>
          <w:p>
            <w:pPr>
              <w:pStyle w:val="Compact"/>
              <w:jc w:val="left"/>
            </w:pPr>
            <w:r>
              <w:t xml:space="preserve">Professional Installation, Calibration, and Commissioning Service for all equipment listed above, to be performed at the Goethe-Universität Frankfurt laboratory premises</w:t>
            </w:r>
          </w:p>
        </w:tc>
        <w:tc>
          <w:tcPr/>
          <w:p>
            <w:pPr>
              <w:pStyle w:val="Compact"/>
              <w:jc w:val="center"/>
            </w:pPr>
            <w:r>
              <w:t xml:space="preserve">1</w:t>
            </w:r>
          </w:p>
        </w:tc>
        <w:tc>
          <w:tcPr/>
          <w:p>
            <w:pPr>
              <w:pStyle w:val="Compact"/>
              <w:jc w:val="right"/>
            </w:pPr>
            <w:r>
              <w:t xml:space="preserve">7,900.00</w:t>
            </w:r>
          </w:p>
        </w:tc>
        <w:tc>
          <w:tcPr/>
          <w:p>
            <w:pPr>
              <w:pStyle w:val="Compact"/>
              <w:jc w:val="right"/>
            </w:pPr>
            <w:r>
              <w:t xml:space="preserve">7,900.00</w:t>
            </w:r>
          </w:p>
        </w:tc>
      </w:tr>
      <w:tr>
        <w:tc>
          <w:tcPr/>
          <w:p>
            <w:pPr>
              <w:pStyle w:val="Compact"/>
              <w:jc w:val="left"/>
            </w:pPr>
            <w:r>
              <w:t xml:space="preserve">07</w:t>
            </w:r>
          </w:p>
        </w:tc>
        <w:tc>
          <w:tcPr/>
          <w:p>
            <w:pPr>
              <w:pStyle w:val="Compact"/>
              <w:jc w:val="left"/>
            </w:pPr>
            <w:r>
              <w:t xml:space="preserve">Annual Maintenance and Support Contract (36 months) covering all purchased instruments, including on-site service in Frankfurt am Main</w:t>
            </w:r>
          </w:p>
        </w:tc>
        <w:tc>
          <w:tcPr/>
          <w:p>
            <w:pPr>
              <w:pStyle w:val="Compact"/>
              <w:jc w:val="center"/>
            </w:pPr>
            <w:r>
              <w:t xml:space="preserve">1</w:t>
            </w:r>
          </w:p>
        </w:tc>
        <w:tc>
          <w:tcPr/>
          <w:p>
            <w:pPr>
              <w:pStyle w:val="Compact"/>
              <w:jc w:val="right"/>
            </w:pPr>
            <w:r>
              <w:t xml:space="preserve">9,400.00</w:t>
            </w:r>
          </w:p>
        </w:tc>
        <w:tc>
          <w:tcPr/>
          <w:p>
            <w:pPr>
              <w:pStyle w:val="Compact"/>
              <w:jc w:val="right"/>
            </w:pPr>
            <w:r>
              <w:t xml:space="preserve">9,400.00</w:t>
            </w:r>
          </w:p>
        </w:tc>
      </w:tr>
    </w:tbl>
    <w:bookmarkEnd w:id="23"/>
    <w:bookmarkStart w:id="24" w:name="cost-summary"/>
    <w:p>
      <w:pPr>
        <w:pStyle w:val="Heading2"/>
      </w:pPr>
      <w:r>
        <w:t xml:space="preserve">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w:t>
            </w:r>
          </w:p>
        </w:tc>
        <w:tc>
          <w:tcPr/>
          <w:p>
            <w:pPr>
              <w:pStyle w:val="Compact"/>
              <w:jc w:val="right"/>
            </w:pPr>
            <w:r>
              <w:t xml:space="preserve">127,700.00 EUR</w:t>
            </w:r>
          </w:p>
        </w:tc>
      </w:tr>
      <w:tr>
        <w:tc>
          <w:tcPr/>
          <w:p>
            <w:pPr>
              <w:pStyle w:val="Compact"/>
              <w:jc w:val="left"/>
            </w:pPr>
            <w:r>
              <w:t xml:space="preserve">VAT (19% – German standard rate):</w:t>
            </w:r>
          </w:p>
        </w:tc>
        <w:tc>
          <w:tcPr/>
          <w:p>
            <w:pPr>
              <w:pStyle w:val="Compact"/>
              <w:jc w:val="right"/>
            </w:pPr>
            <w:r>
              <w:t xml:space="preserve">24,263.00 EUR</w:t>
            </w:r>
          </w:p>
        </w:tc>
      </w:tr>
      <w:tr>
        <w:tc>
          <w:tcPr/>
          <w:p>
            <w:pPr>
              <w:pStyle w:val="Compact"/>
              <w:jc w:val="left"/>
            </w:pPr>
            <w:r>
              <w:t xml:space="preserve">Total Amount Due (gross):</w:t>
            </w:r>
          </w:p>
        </w:tc>
        <w:tc>
          <w:tcPr/>
          <w:p>
            <w:pPr>
              <w:pStyle w:val="Compact"/>
              <w:jc w:val="right"/>
            </w:pPr>
            <w:r>
              <w:t xml:space="preserve">151,963.00 EUR</w:t>
            </w:r>
          </w:p>
        </w:tc>
      </w:tr>
    </w:tbl>
    <w:bookmarkEnd w:id="24"/>
    <w:bookmarkStart w:id="25" w:name="terms-and-conditions"/>
    <w:p>
      <w:pPr>
        <w:pStyle w:val="Heading2"/>
      </w:pPr>
      <w:r>
        <w:t xml:space="preserve">Terms and Conditions</w:t>
      </w:r>
    </w:p>
    <w:p>
      <w:pPr>
        <w:numPr>
          <w:ilvl w:val="0"/>
          <w:numId w:val="1001"/>
        </w:numPr>
        <w:pStyle w:val="Compact"/>
      </w:pPr>
      <w:r>
        <w:t xml:space="preserve">This Purchase Order is issued by the Goethe-Universität Frankfurt am Main on behalf of Professor Dr. Heinrich Vogel, Chair of Applied Physics. All goods and services shall be delivered to the specified address in Frankfurt, Germany, no later than the delivery deadline stated above.</w:t>
      </w:r>
    </w:p>
    <w:p>
      <w:pPr>
        <w:numPr>
          <w:ilvl w:val="0"/>
          <w:numId w:val="1001"/>
        </w:numPr>
        <w:pStyle w:val="Compact"/>
      </w:pPr>
      <w:r>
        <w:t xml:space="preserve">The supplier, LabTech Scientific GmbH, confirms that all equipment meets the current German and European safety standards (CE marking, DIN norms) and is fully compliant with the regulations of the State of Hesse (Land Hessen) regarding public procurement.</w:t>
      </w:r>
    </w:p>
    <w:p>
      <w:pPr>
        <w:numPr>
          <w:ilvl w:val="0"/>
          <w:numId w:val="1001"/>
        </w:numPr>
        <w:pStyle w:val="Compact"/>
      </w:pPr>
      <w:r>
        <w:t xml:space="preserve">Payment shall be made via bank transfer to the supplier's designated account within thirty (30) calendar days of receipt of a correct invoice, in accordance with the German Commercial Code (Handelsgesetzbuch, HGB). The university's central accounting office in Frankfurt will process the transaction.</w:t>
      </w:r>
    </w:p>
    <w:p>
      <w:pPr>
        <w:numPr>
          <w:ilvl w:val="0"/>
          <w:numId w:val="1001"/>
        </w:numPr>
        <w:pStyle w:val="Compact"/>
      </w:pPr>
      <w:r>
        <w:t xml:space="preserve">All equipment must be accompanied by complete technical documentation in both German and English. The Professor's research team requires bilingual manuals for training purposes and for compliance with the university's internal quality management system.</w:t>
      </w:r>
    </w:p>
    <w:p>
      <w:pPr>
        <w:numPr>
          <w:ilvl w:val="0"/>
          <w:numId w:val="1001"/>
        </w:numPr>
        <w:pStyle w:val="Compact"/>
      </w:pPr>
      <w:r>
        <w:t xml:space="preserve">The supplier shall provide a minimum two-year warranty on all hardware items. The installation and commissioning service (Item 06) must be completed and signed off by Professor Vogel or his designated laboratory manager before the final invoice is issued.</w:t>
      </w:r>
    </w:p>
    <w:p>
      <w:pPr>
        <w:numPr>
          <w:ilvl w:val="0"/>
          <w:numId w:val="1001"/>
        </w:numPr>
        <w:pStyle w:val="Compact"/>
      </w:pPr>
      <w:r>
        <w:t xml:space="preserve">In the event of non-delivery or defective goods, the university reserves the right to invoke the statutory remedies under German civil law (BGB §§ 437–441). The supplier shall bear all costs of replacement, repair, or return shipping within the Frankfurt metropolitan area.</w:t>
      </w:r>
    </w:p>
    <w:p>
      <w:pPr>
        <w:numPr>
          <w:ilvl w:val="0"/>
          <w:numId w:val="1001"/>
        </w:numPr>
        <w:pStyle w:val="Compact"/>
      </w:pPr>
      <w:r>
        <w:t xml:space="preserve">This Purchase Order is governed by the laws of the Federal Republic of Germany. Any disputes arising from this order shall be subject to the exclusive jurisdiction of the competent courts in Frankfurt am Main, Germany.</w:t>
      </w:r>
    </w:p>
    <w:p>
      <w:pPr>
        <w:numPr>
          <w:ilvl w:val="0"/>
          <w:numId w:val="1001"/>
        </w:numPr>
        <w:pStyle w:val="Compact"/>
      </w:pPr>
      <w:r>
        <w:t xml:space="preserve">The supplier acknowledges that the purchased equipment is intended for academic research purposes under the supervision of Professor Vogel and shall not be resold or transferred without written consent from the Goethe-Universität Frankfurt.</w:t>
      </w:r>
    </w:p>
    <w:bookmarkEnd w:id="25"/>
    <w:bookmarkStart w:id="26" w:name="authorisation-and-signatures"/>
    <w:p>
      <w:pPr>
        <w:pStyle w:val="Heading2"/>
      </w:pPr>
      <w:r>
        <w:t xml:space="preserve">Authorisation and Signatures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Requested and Approved By:</w:t>
            </w:r>
          </w:p>
          <w:p>
            <w:pPr>
              <w:jc w:val="left"/>
            </w:pPr>
            <w:r>
              <w:t xml:space="preserve">Professor Dr. Heinrich Vogel</w:t>
            </w:r>
          </w:p>
          <w:p>
            <w:pPr>
              <w:jc w:val="left"/>
            </w:pPr>
            <w:r>
              <w:t xml:space="preserve">Chair of Applied Physics</w:t>
            </w:r>
          </w:p>
          <w:p>
            <w:pPr>
              <w:jc w:val="left"/>
            </w:pPr>
            <w:r>
              <w:t xml:space="preserve">Goethe-Universität Frankfurt am Main</w:t>
            </w:r>
          </w:p>
          <w:p>
            <w:pPr>
              <w:jc w:val="left"/>
            </w:pPr>
            <w:r>
              <w:t xml:space="preserve">Signature / Date</w:t>
            </w:r>
          </w:p>
        </w:tc>
        <w:tc>
          <w:tcPr/>
          <w:p>
            <w:pPr>
              <w:jc w:val="left"/>
            </w:pPr>
            <w:r>
              <w:rPr>
                <w:bCs/>
                <w:b/>
              </w:rPr>
              <w:t xml:space="preserve">Accepted By (Supplier):</w:t>
            </w:r>
          </w:p>
          <w:p>
            <w:pPr>
              <w:jc w:val="left"/>
            </w:pPr>
            <w:r>
              <w:t xml:space="preserve">Ms. Katrin Berger</w:t>
            </w:r>
          </w:p>
          <w:p>
            <w:pPr>
              <w:jc w:val="left"/>
            </w:pPr>
            <w:r>
              <w:t xml:space="preserve">Sales Director, LabTech Scientific GmbH</w:t>
            </w:r>
          </w:p>
          <w:p>
            <w:pPr>
              <w:jc w:val="left"/>
            </w:pPr>
            <w:r>
              <w:t xml:space="preserve">Frankfurt am Main, Germany</w:t>
            </w:r>
          </w:p>
          <w:p>
            <w:pPr>
              <w:jc w:val="left"/>
            </w:pPr>
            <w:r>
              <w:t xml:space="preserve">Signature / Date</w:t>
            </w:r>
          </w:p>
        </w:tc>
      </w:tr>
    </w:tbl>
    <w:bookmarkEnd w:id="26"/>
    <w:p>
      <w:pPr>
        <w:pStyle w:val="BodyText"/>
      </w:pPr>
      <w:r>
        <w:t xml:space="preserve">This Purchase Order (PO-FRA-2025-04871) was generated by the Purchasing Department of Goethe-Universität Frankfurt am Main. For questions regarding this order, please contact the university's central procurement office at Theodor-W.-Adorno-Platz 3, 60323 Frankfurt, Germany, or by email at purchasing@em.uni-frankfurt.de. This document is valid only when signed by both parties. All references to "Professor" in this document pertain to Professor Dr. Heinrich Vogel, the authorised academic requester. This Purchase Order is subject to the public procurement regulations of the State of Hesse and the Federal Republic of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 Dr. Heinrich Vogel - Goethe-Universität Frankfurt</dc:title>
  <dc:creator/>
  <dc:language>en</dc:language>
  <cp:keywords/>
  <dcterms:created xsi:type="dcterms:W3CDTF">2026-10-10T06:26:52Z</dcterms:created>
  <dcterms:modified xsi:type="dcterms:W3CDTF">2026-10-10T06:26:52Z</dcterms:modified>
</cp:coreProperties>
</file>

<file path=docProps/custom.xml><?xml version="1.0" encoding="utf-8"?>
<Properties xmlns="http://schemas.openxmlformats.org/officeDocument/2006/custom-properties" xmlns:vt="http://schemas.openxmlformats.org/officeDocument/2006/docPropsVTypes"/>
</file>