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Professor</w:t>
      </w:r>
      <w:r>
        <w:t xml:space="preserve"> </w:t>
      </w:r>
      <w:r>
        <w:t xml:space="preserve">Services</w:t>
      </w:r>
      <w:r>
        <w:t xml:space="preserve"> </w:t>
      </w:r>
      <w:r>
        <w:t xml:space="preserve">-</w:t>
      </w:r>
      <w:r>
        <w:t xml:space="preserve"> </w:t>
      </w:r>
      <w:r>
        <w:t xml:space="preserve">Bangalore,</w:t>
      </w:r>
      <w:r>
        <w:t xml:space="preserve"> </w:t>
      </w:r>
      <w:r>
        <w:t xml:space="preserve">India</w:t>
      </w:r>
    </w:p>
    <w:bookmarkStart w:id="20" w:name="purchase-order"/>
    <w:p>
      <w:pPr>
        <w:pStyle w:val="Heading1"/>
      </w:pPr>
      <w:r>
        <w:t xml:space="preserve">PURCHASE ORDER</w:t>
      </w:r>
    </w:p>
    <w:p>
      <w:pPr>
        <w:pStyle w:val="FirstParagraph"/>
      </w:pPr>
      <w:r>
        <w:t xml:space="preserve">Academic Research &amp; Consulting Services Engagement</w:t>
      </w:r>
    </w:p>
    <w:p>
      <w:pPr>
        <w:pStyle w:val="BodyText"/>
      </w:pPr>
      <w:r>
        <w:t xml:space="preserve">Issued in Bangalore, Karnataka, India</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PO/BLR/2025/PROF-0472</w:t>
            </w:r>
          </w:p>
        </w:tc>
      </w:tr>
      <w:tr>
        <w:tc>
          <w:tcPr/>
          <w:p>
            <w:pPr>
              <w:pStyle w:val="Compact"/>
              <w:jc w:val="left"/>
            </w:pPr>
            <w:r>
              <w:t xml:space="preserve">Date of Issue:</w:t>
            </w:r>
          </w:p>
        </w:tc>
        <w:tc>
          <w:tcPr/>
          <w:p>
            <w:pPr>
              <w:pStyle w:val="Compact"/>
              <w:jc w:val="left"/>
            </w:pPr>
            <w:r>
              <w:t xml:space="preserve">15th June 2025</w:t>
            </w:r>
          </w:p>
        </w:tc>
      </w:tr>
      <w:tr>
        <w:tc>
          <w:tcPr/>
          <w:p>
            <w:pPr>
              <w:pStyle w:val="Compact"/>
              <w:jc w:val="left"/>
            </w:pPr>
            <w:r>
              <w:t xml:space="preserve">Place of Issue:</w:t>
            </w:r>
          </w:p>
        </w:tc>
        <w:tc>
          <w:tcPr/>
          <w:p>
            <w:pPr>
              <w:pStyle w:val="Compact"/>
              <w:jc w:val="left"/>
            </w:pPr>
            <w:r>
              <w:t xml:space="preserve">Bangalore (Bengaluru), Karnataka, India – 560001</w:t>
            </w:r>
          </w:p>
        </w:tc>
      </w:tr>
      <w:tr>
        <w:tc>
          <w:tcPr/>
          <w:p>
            <w:pPr>
              <w:pStyle w:val="Compact"/>
              <w:jc w:val="left"/>
            </w:pPr>
            <w:r>
              <w:t xml:space="preserve">Valid Until:</w:t>
            </w:r>
          </w:p>
        </w:tc>
        <w:tc>
          <w:tcPr/>
          <w:p>
            <w:pPr>
              <w:pStyle w:val="Compact"/>
              <w:jc w:val="left"/>
            </w:pPr>
            <w:r>
              <w:t xml:space="preserve">15th September 2025</w:t>
            </w:r>
          </w:p>
        </w:tc>
      </w:tr>
      <w:tr>
        <w:tc>
          <w:tcPr/>
          <w:p>
            <w:pPr>
              <w:pStyle w:val="Compact"/>
              <w:jc w:val="left"/>
            </w:pPr>
            <w:r>
              <w:t xml:space="preserve">Currency:</w:t>
            </w:r>
          </w:p>
        </w:tc>
        <w:tc>
          <w:tcPr/>
          <w:p>
            <w:pPr>
              <w:pStyle w:val="Compact"/>
              <w:jc w:val="left"/>
            </w:pPr>
            <w:r>
              <w:t xml:space="preserve">Indian Rupees (INR / ₹)</w:t>
            </w:r>
          </w:p>
        </w:tc>
      </w:tr>
      <w:tr>
        <w:tc>
          <w:tcPr/>
          <w:p>
            <w:pPr>
              <w:pStyle w:val="Compact"/>
              <w:jc w:val="left"/>
            </w:pPr>
            <w:r>
              <w:t xml:space="preserve">Governing Jurisdiction:</w:t>
            </w:r>
          </w:p>
        </w:tc>
        <w:tc>
          <w:tcPr/>
          <w:p>
            <w:pPr>
              <w:pStyle w:val="Compact"/>
              <w:jc w:val="left"/>
            </w:pPr>
            <w:r>
              <w:t xml:space="preserve">Laws of India, with jurisdiction of the City Civil Court, Bangalore, Karnataka</w:t>
            </w:r>
          </w:p>
        </w:tc>
      </w:tr>
    </w:tbl>
    <w:p>
      <w:pPr>
        <w:pStyle w:val="BodyText"/>
      </w:pPr>
      <w:r>
        <w:t xml:space="preserve">PARTIES TO THIS PURCHASE ORDER</w:t>
      </w:r>
    </w:p>
    <w:bookmarkStart w:id="21" w:name="buyer-issuing-entity"/>
    <w:p>
      <w:pPr>
        <w:pStyle w:val="Heading3"/>
      </w:pPr>
      <w:r>
        <w:t xml:space="preserve">BUYER (Issuing Entity)</w:t>
      </w:r>
    </w:p>
    <w:p>
      <w:pPr>
        <w:pStyle w:val="FirstParagraph"/>
      </w:pPr>
      <w:r>
        <w:rPr>
          <w:bCs/>
          <w:b/>
        </w:rPr>
        <w:t xml:space="preserve">QuantumEdge Technologies Pvt. Ltd.</w:t>
      </w:r>
    </w:p>
    <w:p>
      <w:pPr>
        <w:pStyle w:val="BodyText"/>
      </w:pPr>
      <w:r>
        <w:t xml:space="preserve">4th Floor, Tech Park Tower, Outer Ring Road,</w:t>
      </w:r>
      <w:r>
        <w:br/>
      </w:r>
      <w:r>
        <w:t xml:space="preserve">Whitefield, Bangalore, Karnataka – 560066, India</w:t>
      </w:r>
    </w:p>
    <w:p>
      <w:pPr>
        <w:pStyle w:val="BodyText"/>
      </w:pPr>
      <w:r>
        <w:t xml:space="preserve">GSTIN: 29AABCQ1234F1Z5</w:t>
      </w:r>
      <w:r>
        <w:br/>
      </w:r>
      <w:r>
        <w:t xml:space="preserve">CIN: U72900KA2018PTC012345</w:t>
      </w:r>
      <w:r>
        <w:br/>
      </w:r>
      <w:r>
        <w:t xml:space="preserve">IEC: AABCQ1234F</w:t>
      </w:r>
    </w:p>
    <w:p>
      <w:pPr>
        <w:pStyle w:val="BodyText"/>
      </w:pPr>
      <w:r>
        <w:rPr>
          <w:bCs/>
          <w:b/>
        </w:rPr>
        <w:t xml:space="preserve">Authorized Signatory:</w:t>
      </w:r>
      <w:r>
        <w:t xml:space="preserve"> </w:t>
      </w:r>
      <w:r>
        <w:t xml:space="preserve">Mr. Arjun Mehta, Chief Financial Officer</w:t>
      </w:r>
    </w:p>
    <w:bookmarkEnd w:id="21"/>
    <w:bookmarkStart w:id="22" w:name="seller-service-provider"/>
    <w:p>
      <w:pPr>
        <w:pStyle w:val="Heading3"/>
      </w:pPr>
      <w:r>
        <w:t xml:space="preserve">SELLER / SERVICE PROVIDER</w:t>
      </w:r>
    </w:p>
    <w:p>
      <w:pPr>
        <w:pStyle w:val="FirstParagraph"/>
      </w:pPr>
      <w:r>
        <w:rPr>
          <w:bCs/>
          <w:b/>
        </w:rPr>
        <w:t xml:space="preserve">Professor Dr. Kavitha Raghavendra</w:t>
      </w:r>
    </w:p>
    <w:p>
      <w:pPr>
        <w:pStyle w:val="BodyText"/>
      </w:pPr>
      <w:r>
        <w:t xml:space="preserve">Department of Computer Science &amp; Engineering,</w:t>
      </w:r>
      <w:r>
        <w:br/>
      </w:r>
      <w:r>
        <w:t xml:space="preserve">National Institute of Technology (NIT),</w:t>
      </w:r>
      <w:r>
        <w:br/>
      </w:r>
      <w:r>
        <w:t xml:space="preserve">Surathkal Campus, via Bangalore – 560032, Karnataka, India</w:t>
      </w:r>
    </w:p>
    <w:p>
      <w:pPr>
        <w:pStyle w:val="BodyText"/>
      </w:pPr>
      <w:r>
        <w:t xml:space="preserve">PAN: BKPDR1234F</w:t>
      </w:r>
      <w:r>
        <w:br/>
      </w:r>
      <w:r>
        <w:t xml:space="preserve">Bank: State Bank of India, Bangalore Main Branch</w:t>
      </w:r>
      <w:r>
        <w:br/>
      </w:r>
      <w:r>
        <w:t xml:space="preserve">Account No: 3021XXXXXX5678</w:t>
      </w:r>
      <w:r>
        <w:br/>
      </w:r>
      <w:r>
        <w:t xml:space="preserve">IFSC: SBIN0001234</w:t>
      </w:r>
    </w:p>
    <w:p>
      <w:pPr>
        <w:pStyle w:val="BodyText"/>
      </w:pPr>
      <w:r>
        <w:rPr>
          <w:bCs/>
          <w:b/>
        </w:rPr>
        <w:t xml:space="preserve">Designation:</w:t>
      </w:r>
      <w:r>
        <w:t xml:space="preserve"> </w:t>
      </w:r>
      <w:r>
        <w:t xml:space="preserve">Professor &amp; Head, Research Division</w:t>
      </w:r>
    </w:p>
    <w:bookmarkEnd w:id="22"/>
    <w:p>
      <w:pPr>
        <w:pStyle w:val="BodyText"/>
      </w:pPr>
      <w:r>
        <w:t xml:space="preserve">DESCRIPTION OF GOODS AND SERVICES</w:t>
      </w:r>
    </w:p>
    <w:p>
      <w:pPr>
        <w:pStyle w:val="BodyText"/>
      </w:pPr>
      <w:r>
        <w:t xml:space="preserve">This Purchase Order is issued by QuantumEdge Technologies Pvt. Ltd., Bangalore, for the engagement of</w:t>
      </w:r>
      <w:r>
        <w:t xml:space="preserve"> </w:t>
      </w:r>
      <w:r>
        <w:t xml:space="preserve">Professor Dr. Kavitha Raghavendra</w:t>
      </w:r>
      <w:r>
        <w:t xml:space="preserve"> </w:t>
      </w:r>
      <w:r>
        <w:t xml:space="preserve">to provide academic research consultancy, technical advisory, and specialized training services as detailed below. The Professor shall render all services in accordance with the scope defined herein, and all deliverables shall be submitted to the Buyer's office in Bangalore, Karnataka, India.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Academic Research Consultancy – Advanced AI &amp; Machine Learning Model Development for Industrial Applications (Professor-led research engagement, 6-month tenure)</w:t>
            </w:r>
          </w:p>
        </w:tc>
        <w:tc>
          <w:tcPr/>
          <w:p>
            <w:pPr>
              <w:pStyle w:val="Compact"/>
              <w:jc w:val="left"/>
            </w:pPr>
            <w:r>
              <w:t xml:space="preserve">1</w:t>
            </w:r>
          </w:p>
        </w:tc>
        <w:tc>
          <w:tcPr/>
          <w:p>
            <w:pPr>
              <w:pStyle w:val="Compact"/>
              <w:jc w:val="left"/>
            </w:pPr>
            <w:r>
              <w:t xml:space="preserve">Engagement</w:t>
            </w:r>
          </w:p>
        </w:tc>
        <w:tc>
          <w:tcPr/>
          <w:p>
            <w:pPr>
              <w:pStyle w:val="Compact"/>
              <w:jc w:val="left"/>
            </w:pPr>
            <w:r>
              <w:t xml:space="preserve">₹ 4,50,000.00</w:t>
            </w:r>
          </w:p>
        </w:tc>
        <w:tc>
          <w:tcPr/>
          <w:p>
            <w:pPr>
              <w:pStyle w:val="Compact"/>
              <w:jc w:val="left"/>
            </w:pPr>
            <w:r>
              <w:t xml:space="preserve">₹ 4,50,000.00</w:t>
            </w:r>
          </w:p>
        </w:tc>
      </w:tr>
      <w:tr>
        <w:tc>
          <w:tcPr/>
          <w:p>
            <w:pPr>
              <w:pStyle w:val="Compact"/>
              <w:jc w:val="left"/>
            </w:pPr>
            <w:r>
              <w:t xml:space="preserve">2</w:t>
            </w:r>
          </w:p>
        </w:tc>
        <w:tc>
          <w:tcPr/>
          <w:p>
            <w:pPr>
              <w:pStyle w:val="Compact"/>
              <w:jc w:val="left"/>
            </w:pPr>
            <w:r>
              <w:t xml:space="preserve">Technical Advisory &amp; Code Review – Professor to conduct bi-weekly advisory sessions at the Buyer's Bangalore office (24 sessions)</w:t>
            </w:r>
          </w:p>
        </w:tc>
        <w:tc>
          <w:tcPr/>
          <w:p>
            <w:pPr>
              <w:pStyle w:val="Compact"/>
              <w:jc w:val="left"/>
            </w:pPr>
            <w:r>
              <w:t xml:space="preserve">24</w:t>
            </w:r>
          </w:p>
        </w:tc>
        <w:tc>
          <w:tcPr/>
          <w:p>
            <w:pPr>
              <w:pStyle w:val="Compact"/>
              <w:jc w:val="left"/>
            </w:pPr>
            <w:r>
              <w:t xml:space="preserve">Sessions</w:t>
            </w:r>
          </w:p>
        </w:tc>
        <w:tc>
          <w:tcPr/>
          <w:p>
            <w:pPr>
              <w:pStyle w:val="Compact"/>
              <w:jc w:val="left"/>
            </w:pPr>
            <w:r>
              <w:t xml:space="preserve">₹ 12,500.00</w:t>
            </w:r>
          </w:p>
        </w:tc>
        <w:tc>
          <w:tcPr/>
          <w:p>
            <w:pPr>
              <w:pStyle w:val="Compact"/>
              <w:jc w:val="left"/>
            </w:pPr>
            <w:r>
              <w:t xml:space="preserve">₹ 3,00,000.00</w:t>
            </w:r>
          </w:p>
        </w:tc>
      </w:tr>
      <w:tr>
        <w:tc>
          <w:tcPr/>
          <w:p>
            <w:pPr>
              <w:pStyle w:val="Compact"/>
              <w:jc w:val="left"/>
            </w:pPr>
            <w:r>
              <w:t xml:space="preserve">3</w:t>
            </w:r>
          </w:p>
        </w:tc>
        <w:tc>
          <w:tcPr/>
          <w:p>
            <w:pPr>
              <w:pStyle w:val="Compact"/>
              <w:jc w:val="left"/>
            </w:pPr>
            <w:r>
              <w:t xml:space="preserve">Specialized Training Program – "Advanced Computational Methods" for 30 employees (Professor as lead instructor, 5-day intensive at Bangalore venue)</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 2,25,000.00</w:t>
            </w:r>
          </w:p>
        </w:tc>
        <w:tc>
          <w:tcPr/>
          <w:p>
            <w:pPr>
              <w:pStyle w:val="Compact"/>
              <w:jc w:val="left"/>
            </w:pPr>
            <w:r>
              <w:t xml:space="preserve">₹ 2,25,000.00</w:t>
            </w:r>
          </w:p>
        </w:tc>
      </w:tr>
      <w:tr>
        <w:tc>
          <w:tcPr/>
          <w:p>
            <w:pPr>
              <w:pStyle w:val="Compact"/>
              <w:jc w:val="left"/>
            </w:pPr>
            <w:r>
              <w:t xml:space="preserve">4</w:t>
            </w:r>
          </w:p>
        </w:tc>
        <w:tc>
          <w:tcPr/>
          <w:p>
            <w:pPr>
              <w:pStyle w:val="Compact"/>
              <w:jc w:val="left"/>
            </w:pPr>
            <w:r>
              <w:t xml:space="preserve">Publication &amp; IP Licensing – Co-authored research paper on "Neural Network Optimization for Manufacturing" with exclusive commercial licensing rights to Buyer</w:t>
            </w:r>
          </w:p>
        </w:tc>
        <w:tc>
          <w:tcPr/>
          <w:p>
            <w:pPr>
              <w:pStyle w:val="Compact"/>
              <w:jc w:val="left"/>
            </w:pPr>
            <w:r>
              <w:t xml:space="preserve">1</w:t>
            </w:r>
          </w:p>
        </w:tc>
        <w:tc>
          <w:tcPr/>
          <w:p>
            <w:pPr>
              <w:pStyle w:val="Compact"/>
              <w:jc w:val="left"/>
            </w:pPr>
            <w:r>
              <w:t xml:space="preserve">Publication</w:t>
            </w:r>
          </w:p>
        </w:tc>
        <w:tc>
          <w:tcPr/>
          <w:p>
            <w:pPr>
              <w:pStyle w:val="Compact"/>
              <w:jc w:val="left"/>
            </w:pPr>
            <w:r>
              <w:t xml:space="preserve">₹ 1,75,000.00</w:t>
            </w:r>
          </w:p>
        </w:tc>
        <w:tc>
          <w:tcPr/>
          <w:p>
            <w:pPr>
              <w:pStyle w:val="Compact"/>
              <w:jc w:val="left"/>
            </w:pPr>
            <w:r>
              <w:t xml:space="preserve">₹ 1,75,000.00</w:t>
            </w:r>
          </w:p>
        </w:tc>
      </w:tr>
      <w:tr>
        <w:tc>
          <w:tcPr/>
          <w:p>
            <w:pPr>
              <w:pStyle w:val="Compact"/>
              <w:jc w:val="left"/>
            </w:pPr>
            <w:r>
              <w:t xml:space="preserve">5</w:t>
            </w:r>
          </w:p>
        </w:tc>
        <w:tc>
          <w:tcPr/>
          <w:p>
            <w:pPr>
              <w:pStyle w:val="Compact"/>
              <w:jc w:val="left"/>
            </w:pPr>
            <w:r>
              <w:t xml:space="preserve">Travel &amp; Accommodation Allowance – Professor's travel from NIT Campus to Bangalore office (estimated 12 round trips, including per diem as per Indian government travel norms)</w:t>
            </w:r>
          </w:p>
        </w:tc>
        <w:tc>
          <w:tcPr/>
          <w:p>
            <w:pPr>
              <w:pStyle w:val="Compact"/>
              <w:jc w:val="left"/>
            </w:pPr>
            <w:r>
              <w:t xml:space="preserve">12</w:t>
            </w:r>
          </w:p>
        </w:tc>
        <w:tc>
          <w:tcPr/>
          <w:p>
            <w:pPr>
              <w:pStyle w:val="Compact"/>
              <w:jc w:val="left"/>
            </w:pPr>
            <w:r>
              <w:t xml:space="preserve">Trips</w:t>
            </w:r>
          </w:p>
        </w:tc>
        <w:tc>
          <w:tcPr/>
          <w:p>
            <w:pPr>
              <w:pStyle w:val="Compact"/>
              <w:jc w:val="left"/>
            </w:pPr>
            <w:r>
              <w:t xml:space="preserve">₹ 8,500.00</w:t>
            </w:r>
          </w:p>
        </w:tc>
        <w:tc>
          <w:tcPr/>
          <w:p>
            <w:pPr>
              <w:pStyle w:val="Compact"/>
              <w:jc w:val="left"/>
            </w:pPr>
            <w:r>
              <w:t xml:space="preserve">₹ 1,02,000.00</w:t>
            </w:r>
          </w:p>
        </w:tc>
      </w:tr>
      <w:tr>
        <w:tc>
          <w:tcPr/>
          <w:p>
            <w:pPr>
              <w:pStyle w:val="Compact"/>
              <w:jc w:val="left"/>
            </w:pPr>
            <w:r>
              <w:t xml:space="preserve">6</w:t>
            </w:r>
          </w:p>
        </w:tc>
        <w:tc>
          <w:tcPr/>
          <w:p>
            <w:pPr>
              <w:pStyle w:val="Compact"/>
              <w:jc w:val="left"/>
            </w:pPr>
            <w:r>
              <w:t xml:space="preserve">Research Material &amp; Software Licenses – Procurement of specialized academic software, reference journals, and computational resources for the Professor's research use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 95,000.00</w:t>
            </w:r>
          </w:p>
        </w:tc>
        <w:tc>
          <w:tcPr/>
          <w:p>
            <w:pPr>
              <w:pStyle w:val="Compact"/>
              <w:jc w:val="left"/>
            </w:pPr>
            <w:r>
              <w:t xml:space="preserve">₹ 95,000.00</w:t>
            </w:r>
          </w:p>
        </w:tc>
      </w:tr>
      <w:tr>
        <w:tc>
          <w:tcPr>
            <w:gridSpan w:val="5"/>
          </w:tcPr>
          <w:p>
            <w:pPr>
              <w:pStyle w:val="Compact"/>
              <w:jc w:val="right"/>
            </w:pPr>
            <w:r>
              <w:t xml:space="preserve">Subtotal:</w:t>
            </w:r>
          </w:p>
        </w:tc>
        <w:tc>
          <w:tcPr/>
          <w:p>
            <w:pPr>
              <w:pStyle w:val="Compact"/>
              <w:jc w:val="left"/>
            </w:pPr>
            <w:r>
              <w:t xml:space="preserve">₹ 13,47,000.00</w:t>
            </w:r>
          </w:p>
        </w:tc>
      </w:tr>
      <w:tr>
        <w:tc>
          <w:tcPr>
            <w:gridSpan w:val="5"/>
          </w:tcPr>
          <w:p>
            <w:pPr>
              <w:pStyle w:val="Compact"/>
              <w:jc w:val="right"/>
            </w:pPr>
            <w:r>
              <w:t xml:space="preserve">GST @ 18% (as applicable under Indian GST Act, 2017):</w:t>
            </w:r>
          </w:p>
        </w:tc>
        <w:tc>
          <w:tcPr/>
          <w:p>
            <w:pPr>
              <w:pStyle w:val="Compact"/>
              <w:jc w:val="left"/>
            </w:pPr>
            <w:r>
              <w:t xml:space="preserve">₹ 2,42,460.00</w:t>
            </w:r>
          </w:p>
        </w:tc>
      </w:tr>
      <w:tr>
        <w:tc>
          <w:tcPr>
            <w:gridSpan w:val="5"/>
          </w:tcPr>
          <w:p>
            <w:pPr>
              <w:pStyle w:val="Compact"/>
              <w:jc w:val="right"/>
            </w:pPr>
            <w:r>
              <w:t xml:space="preserve">TDS Deduction @ 10% (Section 194J, Income Tax Act, 1961 – Professional Fees):</w:t>
            </w:r>
          </w:p>
        </w:tc>
        <w:tc>
          <w:tcPr/>
          <w:p>
            <w:pPr>
              <w:pStyle w:val="Compact"/>
              <w:jc w:val="left"/>
            </w:pPr>
            <w:r>
              <w:t xml:space="preserve">(₹ 1,34,700.00)</w:t>
            </w:r>
          </w:p>
        </w:tc>
      </w:tr>
      <w:tr>
        <w:tc>
          <w:tcPr>
            <w:gridSpan w:val="5"/>
          </w:tcPr>
          <w:p>
            <w:pPr>
              <w:pStyle w:val="Compact"/>
              <w:jc w:val="right"/>
            </w:pPr>
            <w:r>
              <w:rPr>
                <w:bCs/>
                <w:b/>
              </w:rPr>
              <w:t xml:space="preserve">NET PAYABLE AMOUNT:</w:t>
            </w:r>
          </w:p>
        </w:tc>
        <w:tc>
          <w:tcPr/>
          <w:p>
            <w:pPr>
              <w:pStyle w:val="Compact"/>
              <w:jc w:val="left"/>
            </w:pPr>
            <w:r>
              <w:rPr>
                <w:bCs/>
                <w:b/>
              </w:rPr>
              <w:t xml:space="preserve">₹ 14,54,760.00</w:t>
            </w:r>
          </w:p>
        </w:tc>
      </w:tr>
    </w:tbl>
    <w:p>
      <w:pPr>
        <w:pStyle w:val="BodyText"/>
      </w:pPr>
      <w:r>
        <w:t xml:space="preserve">TERMS AND CONDITIONS</w:t>
      </w:r>
    </w:p>
    <w:p>
      <w:pPr>
        <w:numPr>
          <w:ilvl w:val="0"/>
          <w:numId w:val="1001"/>
        </w:numPr>
        <w:pStyle w:val="Compact"/>
      </w:pPr>
      <w:r>
        <w:rPr>
          <w:bCs/>
          <w:b/>
        </w:rPr>
        <w:t xml:space="preserve">Scope of Engagement:</w:t>
      </w:r>
      <w:r>
        <w:t xml:space="preserve"> </w:t>
      </w:r>
      <w:r>
        <w:t xml:space="preserve">The Professor shall perform all duties and services as outlined in this Purchase Order with professional diligence, academic integrity, and in accordance with the highest standards of the Indian academic and research community. All work shall be conducted primarily in Bangalore, Karnataka, India, unless otherwise agreed in writing.</w:t>
      </w:r>
    </w:p>
    <w:p>
      <w:pPr>
        <w:numPr>
          <w:ilvl w:val="0"/>
          <w:numId w:val="1001"/>
        </w:numPr>
        <w:pStyle w:val="Compact"/>
      </w:pPr>
      <w:r>
        <w:rPr>
          <w:bCs/>
          <w:b/>
        </w:rPr>
        <w:t xml:space="preserve">Payment Terms:</w:t>
      </w:r>
      <w:r>
        <w:t xml:space="preserve"> </w:t>
      </w:r>
      <w:r>
        <w:t xml:space="preserve">Payment shall be made within 30 days of receipt of a valid tax invoice from the Professor. Payment shall be processed via NEFT/RTGS to the bank account specified above. The Buyer shall deduct TDS at 10% under Section 194J of the Income Tax Act, 1961, and issue Form 16A to the Professor at the end of the financial year.</w:t>
      </w:r>
    </w:p>
    <w:p>
      <w:pPr>
        <w:numPr>
          <w:ilvl w:val="0"/>
          <w:numId w:val="1001"/>
        </w:numPr>
        <w:pStyle w:val="Compact"/>
      </w:pPr>
      <w:r>
        <w:rPr>
          <w:bCs/>
          <w:b/>
        </w:rPr>
        <w:t xml:space="preserve">Intellectual Property:</w:t>
      </w:r>
      <w:r>
        <w:t xml:space="preserve"> </w:t>
      </w:r>
      <w:r>
        <w:t xml:space="preserve">All research outputs, code, models, and documentation developed specifically under this Purchase Order shall be the joint intellectual property of the Professor and QuantumEdge Technologies Pvt. Ltd., Bangalore. Commercial exploitation rights shall be governed by a separate IP agreement to be executed within 15 days of this Purchase Order.</w:t>
      </w:r>
    </w:p>
    <w:p>
      <w:pPr>
        <w:numPr>
          <w:ilvl w:val="0"/>
          <w:numId w:val="1001"/>
        </w:numPr>
        <w:pStyle w:val="Compact"/>
      </w:pPr>
      <w:r>
        <w:rPr>
          <w:bCs/>
          <w:b/>
        </w:rPr>
        <w:t xml:space="preserve">Confidentiality:</w:t>
      </w:r>
      <w:r>
        <w:t xml:space="preserve"> </w:t>
      </w:r>
      <w:r>
        <w:t xml:space="preserve">The Professor agrees to maintain strict confidentiality regarding all proprietary information, trade secrets, and data of the Buyer. This obligation shall survive the termination of this Purchase Order for a period of five (5) years, in compliance with the Indian Information Technology Act, 2000.</w:t>
      </w:r>
    </w:p>
    <w:p>
      <w:pPr>
        <w:numPr>
          <w:ilvl w:val="0"/>
          <w:numId w:val="1001"/>
        </w:numPr>
        <w:pStyle w:val="Compact"/>
      </w:pPr>
      <w:r>
        <w:rPr>
          <w:bCs/>
          <w:b/>
        </w:rPr>
        <w:t xml:space="preserve">Delivery Schedule:</w:t>
      </w:r>
      <w:r>
        <w:t xml:space="preserve"> </w:t>
      </w:r>
      <w:r>
        <w:t xml:space="preserve">All milestones and deliverables shall be submitted as per the timeline agreed upon in the Statement of Work (SOW) annexed to this Purchase Order. The Professor shall provide monthly progress reports to the Buyer's project management team in Bangalore.</w:t>
      </w:r>
    </w:p>
    <w:p>
      <w:pPr>
        <w:numPr>
          <w:ilvl w:val="0"/>
          <w:numId w:val="1001"/>
        </w:numPr>
        <w:pStyle w:val="Compact"/>
      </w:pPr>
      <w:r>
        <w:rPr>
          <w:bCs/>
          <w:b/>
        </w:rPr>
        <w:t xml:space="preserve">Termination:</w:t>
      </w:r>
      <w:r>
        <w:t xml:space="preserve"> </w:t>
      </w:r>
      <w:r>
        <w:t xml:space="preserve">Either party may terminate this Purchase Order with 30 days' written notice. In the event of termination, the Professor shall be compensated for all services rendered up to the date of termination, less applicable TDS deductions as per Indian tax law.</w:t>
      </w:r>
    </w:p>
    <w:p>
      <w:pPr>
        <w:numPr>
          <w:ilvl w:val="0"/>
          <w:numId w:val="1001"/>
        </w:numPr>
        <w:pStyle w:val="Compact"/>
      </w:pPr>
      <w:r>
        <w:rPr>
          <w:bCs/>
          <w:b/>
        </w:rPr>
        <w:t xml:space="preserve">Dispute Resolution:</w:t>
      </w:r>
      <w:r>
        <w:t xml:space="preserve"> </w:t>
      </w:r>
      <w:r>
        <w:t xml:space="preserve">Any disputes arising out of or in connection with this Purchase Order shall be resolved through arbitration in Bangalore, Karnataka, India, in accordance with the Arbitration and Conciliation Act, 1996. The seat of arbitration shall be Bangalore, and the language of arbitration shall be English.</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India. The courts at Bangalore, Karnataka shall have exclusive jurisdiction over any matters arising hereunder.</w:t>
      </w:r>
    </w:p>
    <w:p>
      <w:pPr>
        <w:numPr>
          <w:ilvl w:val="0"/>
          <w:numId w:val="1001"/>
        </w:numPr>
        <w:pStyle w:val="Compact"/>
      </w:pPr>
      <w:r>
        <w:rPr>
          <w:bCs/>
          <w:b/>
        </w:rPr>
        <w:t xml:space="preserve">Compliance:</w:t>
      </w:r>
      <w:r>
        <w:t xml:space="preserve"> </w:t>
      </w:r>
      <w:r>
        <w:t xml:space="preserve">The Professor warrants that all services rendered shall comply with applicable Indian laws, including but not limited to the Income Tax Act, 1961; the GST Act, 2017; the Copyright Act, 1957; and any institutional guidelines of the Professor's affiliated university in Bangalore.</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 orders, or public health emergencies as declared by the Government of India or the Government of Karnataka.</w:t>
      </w:r>
    </w:p>
    <w:p>
      <w:pPr>
        <w:pStyle w:val="FirstParagraph"/>
      </w:pPr>
      <w:r>
        <w:t xml:space="preserve">AUTHORIZATION AND ACCEPTANCE</w:t>
      </w:r>
    </w:p>
    <w:p>
      <w:pPr>
        <w:pStyle w:val="BodyText"/>
      </w:pPr>
      <w:r>
        <w:rPr>
          <w:bCs/>
          <w:b/>
        </w:rPr>
        <w:t xml:space="preserve">For and on behalf of QuantumEdge Technologies Pvt. Ltd., Bangalore</w:t>
      </w:r>
    </w:p>
    <w:p>
      <w:pPr>
        <w:pStyle w:val="BodyText"/>
      </w:pPr>
      <w:r>
        <w:t xml:space="preserve">Mr. Arjun Mehta</w:t>
      </w:r>
      <w:r>
        <w:br/>
      </w:r>
      <w:r>
        <w:t xml:space="preserve">Chief Financial Officer</w:t>
      </w:r>
      <w:r>
        <w:br/>
      </w:r>
      <w:r>
        <w:t xml:space="preserve">Date: 15/06/2025</w:t>
      </w:r>
    </w:p>
    <w:p>
      <w:pPr>
        <w:pStyle w:val="BodyText"/>
      </w:pPr>
      <w:r>
        <w:rPr>
          <w:bCs/>
          <w:b/>
        </w:rPr>
        <w:t xml:space="preserve">Accepted by the Professor (Service Provider)</w:t>
      </w:r>
    </w:p>
    <w:p>
      <w:pPr>
        <w:pStyle w:val="BodyText"/>
      </w:pPr>
      <w:r>
        <w:t xml:space="preserve">Professor Dr. Kavitha Raghavendra</w:t>
      </w:r>
      <w:r>
        <w:br/>
      </w:r>
      <w:r>
        <w:t xml:space="preserve">Professor &amp; Head, Research Division</w:t>
      </w:r>
      <w:r>
        <w:br/>
      </w:r>
      <w:r>
        <w:t xml:space="preserve">Date: _____________</w:t>
      </w:r>
    </w:p>
    <w:p>
      <w:pPr>
        <w:pStyle w:val="BodyText"/>
      </w:pPr>
      <w:r>
        <w:rPr>
          <w:bCs/>
          <w:b/>
        </w:rPr>
        <w:t xml:space="preserve">Witness</w:t>
      </w:r>
    </w:p>
    <w:p>
      <w:pPr>
        <w:pStyle w:val="BodyText"/>
      </w:pPr>
      <w:r>
        <w:t xml:space="preserve">Name: _____________</w:t>
      </w:r>
      <w:r>
        <w:br/>
      </w:r>
      <w:r>
        <w:t xml:space="preserve">Designation: _____________</w:t>
      </w:r>
      <w:r>
        <w:br/>
      </w:r>
      <w:r>
        <w:t xml:space="preserve">Date: _____________</w:t>
      </w:r>
    </w:p>
    <w:p>
      <w:pPr>
        <w:pStyle w:val="BodyText"/>
      </w:pPr>
      <w:r>
        <w:t xml:space="preserve">This Purchase Order is issued in Bangalore, Karnataka, India and constitutes a binding commercial document under the Indian Contract Act, 1872. This document is valid only when signed by all authorized parties. All references to "Professor" in this document refer to Professor Dr. Kavitha Raghavendra, the designated service provider. This Purchase Order is subject to the terms and conditions stated herein and any applicable laws of India. Document Reference: PO/BLR/2025/PROF-0472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Professor Services - Bangalore, India</dc:title>
  <dc:creator/>
  <dc:language>en</dc:language>
  <cp:keywords/>
  <dcterms:created xsi:type="dcterms:W3CDTF">2026-10-10T08:00:59Z</dcterms:created>
  <dcterms:modified xsi:type="dcterms:W3CDTF">2026-10-10T08:00:59Z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