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Academic</w:t>
      </w:r>
      <w:r>
        <w:t xml:space="preserve"> </w:t>
      </w:r>
      <w:r>
        <w:t xml:space="preserve">Supplies</w:t>
      </w:r>
      <w:r>
        <w:t xml:space="preserve"> </w:t>
      </w:r>
      <w:r>
        <w:t xml:space="preserve">-</w:t>
      </w:r>
      <w:r>
        <w:t xml:space="preserve"> </w:t>
      </w:r>
      <w:r>
        <w:t xml:space="preserve">Tehran,</w:t>
      </w:r>
      <w:r>
        <w:t xml:space="preserve"> </w:t>
      </w:r>
      <w:r>
        <w:t xml:space="preserve">Iran</w:t>
      </w:r>
    </w:p>
    <w:bookmarkStart w:id="20" w:name="purchase-order"/>
    <w:p>
      <w:pPr>
        <w:pStyle w:val="Heading1"/>
      </w:pPr>
      <w:r>
        <w:t xml:space="preserve">PURCHASE ORDER</w:t>
      </w:r>
    </w:p>
    <w:p>
      <w:pPr>
        <w:pStyle w:val="FirstParagraph"/>
      </w:pPr>
      <w:r>
        <w:t xml:space="preserve">University of Tehran — Faculty of Engineering — Department of Mechanical Engineering</w:t>
      </w:r>
    </w:p>
    <w:p>
      <w:pPr>
        <w:pStyle w:val="BodyText"/>
      </w:pPr>
      <w:r>
        <w:t xml:space="preserve">PO No: UT-FE-2025-04871 | Date of Issue: 14 June 2025 (24 Khordad 1404)</w:t>
      </w:r>
    </w:p>
    <w:bookmarkEnd w:id="20"/>
    <w:bookmarkStart w:id="23" w:name="parties-to-this-purchase-order"/>
    <w:p>
      <w:pPr>
        <w:pStyle w:val="Heading2"/>
      </w:pPr>
      <w:r>
        <w:t xml:space="preserve">1. Parties to This Purchase Order</w:t>
      </w:r>
    </w:p>
    <w:bookmarkStart w:id="21" w:name="buyer-purchasing-authority"/>
    <w:p>
      <w:pPr>
        <w:pStyle w:val="Heading3"/>
      </w:pPr>
      <w:r>
        <w:t xml:space="preserve">Buyer (Purchasing Authority)</w:t>
      </w:r>
    </w:p>
    <w:p>
      <w:pPr>
        <w:pStyle w:val="FirstParagraph"/>
      </w:pPr>
      <w:r>
        <w:rPr>
          <w:bCs/>
          <w:b/>
        </w:rPr>
        <w:t xml:space="preserve">University of Tehran</w:t>
      </w:r>
    </w:p>
    <w:p>
      <w:pPr>
        <w:pStyle w:val="BodyText"/>
      </w:pPr>
      <w:r>
        <w:t xml:space="preserve">Faculty of Engineering, Department of Mechanical Engineering</w:t>
      </w:r>
    </w:p>
    <w:p>
      <w:pPr>
        <w:pStyle w:val="BodyText"/>
      </w:pPr>
      <w:r>
        <w:t xml:space="preserve">Address: Enghelab Avenue, Tehran, Iran</w:t>
      </w:r>
    </w:p>
    <w:p>
      <w:pPr>
        <w:pStyle w:val="BodyText"/>
      </w:pPr>
      <w:r>
        <w:t xml:space="preserve">Postal Code: 1417933635</w:t>
      </w:r>
    </w:p>
    <w:p>
      <w:pPr>
        <w:pStyle w:val="BodyText"/>
      </w:pPr>
      <w:r>
        <w:t xml:space="preserve">Phone: +98-21-8970-5000</w:t>
      </w:r>
    </w:p>
    <w:p>
      <w:pPr>
        <w:pStyle w:val="BodyText"/>
      </w:pPr>
      <w:r>
        <w:t xml:space="preserve">Email: procurement@ut.ac.ir</w:t>
      </w:r>
    </w:p>
    <w:p>
      <w:pPr>
        <w:pStyle w:val="BodyText"/>
      </w:pPr>
      <w:r>
        <w:t xml:space="preserve">Authorized Signatory: Dr. Ahmad Reza Karimi, Head of Department</w:t>
      </w:r>
    </w:p>
    <w:bookmarkEnd w:id="21"/>
    <w:bookmarkStart w:id="22" w:name="supplier-vendor"/>
    <w:p>
      <w:pPr>
        <w:pStyle w:val="Heading3"/>
      </w:pPr>
      <w:r>
        <w:t xml:space="preserve">Supplier (Vendor)</w:t>
      </w:r>
    </w:p>
    <w:p>
      <w:pPr>
        <w:pStyle w:val="FirstParagraph"/>
      </w:pPr>
      <w:r>
        <w:rPr>
          <w:bCs/>
          <w:b/>
        </w:rPr>
        <w:t xml:space="preserve">Tehran Scientific Instruments Co. (TSCI)</w:t>
      </w:r>
    </w:p>
    <w:p>
      <w:pPr>
        <w:pStyle w:val="BodyText"/>
      </w:pPr>
      <w:r>
        <w:t xml:space="preserve">Address: Valiasr Street, Unit 4, 12th Floor, Tehran, Iran</w:t>
      </w:r>
    </w:p>
    <w:p>
      <w:pPr>
        <w:pStyle w:val="BodyText"/>
      </w:pPr>
      <w:r>
        <w:t xml:space="preserve">Postal Code: 1477835621</w:t>
      </w:r>
    </w:p>
    <w:p>
      <w:pPr>
        <w:pStyle w:val="BodyText"/>
      </w:pPr>
      <w:r>
        <w:t xml:space="preserve">Phone: +98-21-8867-3344</w:t>
      </w:r>
    </w:p>
    <w:p>
      <w:pPr>
        <w:pStyle w:val="BodyText"/>
      </w:pPr>
      <w:r>
        <w:t xml:space="preserve">Email: sales@tsci-iran.com</w:t>
      </w:r>
    </w:p>
    <w:p>
      <w:pPr>
        <w:pStyle w:val="BodyText"/>
      </w:pPr>
      <w:r>
        <w:t xml:space="preserve">Commercial Registration No: 10482937</w:t>
      </w:r>
    </w:p>
    <w:p>
      <w:pPr>
        <w:pStyle w:val="BodyText"/>
      </w:pPr>
      <w:r>
        <w:t xml:space="preserve">Value-Added Tax (VAT) ID: 10300482937</w:t>
      </w:r>
    </w:p>
    <w:bookmarkEnd w:id="22"/>
    <w:bookmarkEnd w:id="23"/>
    <w:bookmarkStart w:id="24" w:name="Xe0b784e4d6678b9165de4d2436180e4a231df1d"/>
    <w:p>
      <w:pPr>
        <w:pStyle w:val="Heading2"/>
      </w:pPr>
      <w:r>
        <w:t xml:space="preserve">2. Purpose and Context of This Purchase Order</w:t>
      </w:r>
    </w:p>
    <w:p>
      <w:pPr>
        <w:pStyle w:val="FirstParagraph"/>
      </w:pPr>
      <w:r>
        <w:t xml:space="preserve">This Purchase Order is issued in accordance with the procurement regulations of the University of Tehran and the Iranian Ministry of Science, Research, and Technology. The purpose of this Purchase Order is to procure specialized academic and research equipment, laboratory consumables, and reference materials required by</w:t>
      </w:r>
      <w:r>
        <w:t xml:space="preserve"> </w:t>
      </w:r>
      <w:r>
        <w:t xml:space="preserve">Professor Dr. Maryam Hosseini</w:t>
      </w:r>
      <w:r>
        <w:t xml:space="preserve">, Associate Professor of Advanced Thermodynamics and Heat Transfer, Department of Mechanical Engineering, University of Tehran, Tehran, Iran. The items listed below are essential for the Professor's ongoing research project titled "Thermal Optimization of Micro-Channel Heat Exchangers for Industrial Applications in Iran," funded under the National Elites Foundation (NESF) grant number NESF-2025-TE-0342. All deliveries shall be made to the Professor's laboratory located at Room 312, Building C, Faculty of Engineering, University of Tehran, Tehran, Iran.</w:t>
      </w:r>
    </w:p>
    <w:bookmarkEnd w:id="24"/>
    <w:bookmarkStart w:id="25" w:name="line-items-and-specifications"/>
    <w:p>
      <w:pPr>
        <w:pStyle w:val="Heading2"/>
      </w:pPr>
      <w:r>
        <w:t xml:space="preserve">3. Line Items and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1</w:t>
            </w:r>
          </w:p>
        </w:tc>
        <w:tc>
          <w:tcPr/>
          <w:p>
            <w:pPr>
              <w:pStyle w:val="Compact"/>
              <w:jc w:val="left"/>
            </w:pPr>
            <w:r>
              <w:t xml:space="preserve">High-Precision Digital Thermocouple Data Acquisition System (8-channel) for Professor's thermal laboratory</w:t>
            </w:r>
          </w:p>
        </w:tc>
        <w:tc>
          <w:tcPr/>
          <w:p>
            <w:pPr>
              <w:pStyle w:val="Compact"/>
              <w:jc w:val="left"/>
            </w:pPr>
            <w:r>
              <w:t xml:space="preserve">IEC 60584, Class 1</w:t>
            </w:r>
          </w:p>
        </w:tc>
        <w:tc>
          <w:tcPr/>
          <w:p>
            <w:pPr>
              <w:pStyle w:val="Compact"/>
              <w:jc w:val="left"/>
            </w:pPr>
            <w:r>
              <w:t xml:space="preserve">2</w:t>
            </w:r>
          </w:p>
        </w:tc>
        <w:tc>
          <w:tcPr/>
          <w:p>
            <w:pPr>
              <w:pStyle w:val="Compact"/>
              <w:jc w:val="left"/>
            </w:pPr>
            <w:r>
              <w:t xml:space="preserve">48,500,000</w:t>
            </w:r>
          </w:p>
        </w:tc>
        <w:tc>
          <w:tcPr/>
          <w:p>
            <w:pPr>
              <w:pStyle w:val="Compact"/>
              <w:jc w:val="left"/>
            </w:pPr>
            <w:r>
              <w:t xml:space="preserve">97,000,000</w:t>
            </w:r>
          </w:p>
        </w:tc>
      </w:tr>
      <w:tr>
        <w:tc>
          <w:tcPr/>
          <w:p>
            <w:pPr>
              <w:pStyle w:val="Compact"/>
              <w:jc w:val="left"/>
            </w:pPr>
            <w:r>
              <w:t xml:space="preserve">2</w:t>
            </w:r>
          </w:p>
        </w:tc>
        <w:tc>
          <w:tcPr/>
          <w:p>
            <w:pPr>
              <w:pStyle w:val="Compact"/>
              <w:jc w:val="left"/>
            </w:pPr>
            <w:r>
              <w:t xml:space="preserve">Micro-Channel Heat Exchanger Test Rig, stainless steel 316L, custom fabrication for Tehran-based research</w:t>
            </w:r>
          </w:p>
        </w:tc>
        <w:tc>
          <w:tcPr/>
          <w:p>
            <w:pPr>
              <w:pStyle w:val="Compact"/>
              <w:jc w:val="left"/>
            </w:pPr>
            <w:r>
              <w:t xml:space="preserve">ASME B31.3, Custom</w:t>
            </w:r>
          </w:p>
        </w:tc>
        <w:tc>
          <w:tcPr/>
          <w:p>
            <w:pPr>
              <w:pStyle w:val="Compact"/>
              <w:jc w:val="left"/>
            </w:pPr>
            <w:r>
              <w:t xml:space="preserve">1</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3</w:t>
            </w:r>
          </w:p>
        </w:tc>
        <w:tc>
          <w:tcPr/>
          <w:p>
            <w:pPr>
              <w:pStyle w:val="Compact"/>
              <w:jc w:val="left"/>
            </w:pPr>
            <w:r>
              <w:t xml:space="preserve">Calibrated Pressure Transducers (0–10 bar, 0.1% accuracy), for Professor's experimental setup</w:t>
            </w:r>
          </w:p>
        </w:tc>
        <w:tc>
          <w:tcPr/>
          <w:p>
            <w:pPr>
              <w:pStyle w:val="Compact"/>
              <w:jc w:val="left"/>
            </w:pPr>
            <w:r>
              <w:t xml:space="preserve">ISO 5199, 0.1% FS</w:t>
            </w:r>
          </w:p>
        </w:tc>
        <w:tc>
          <w:tcPr/>
          <w:p>
            <w:pPr>
              <w:pStyle w:val="Compact"/>
              <w:jc w:val="left"/>
            </w:pPr>
            <w:r>
              <w:t xml:space="preserve">6</w:t>
            </w:r>
          </w:p>
        </w:tc>
        <w:tc>
          <w:tcPr/>
          <w:p>
            <w:pPr>
              <w:pStyle w:val="Compact"/>
              <w:jc w:val="left"/>
            </w:pPr>
            <w:r>
              <w:t xml:space="preserve">12,800,000</w:t>
            </w:r>
          </w:p>
        </w:tc>
        <w:tc>
          <w:tcPr/>
          <w:p>
            <w:pPr>
              <w:pStyle w:val="Compact"/>
              <w:jc w:val="left"/>
            </w:pPr>
            <w:r>
              <w:t xml:space="preserve">76,800,000</w:t>
            </w:r>
          </w:p>
        </w:tc>
      </w:tr>
      <w:tr>
        <w:tc>
          <w:tcPr/>
          <w:p>
            <w:pPr>
              <w:pStyle w:val="Compact"/>
              <w:jc w:val="left"/>
            </w:pPr>
            <w:r>
              <w:t xml:space="preserve">4</w:t>
            </w:r>
          </w:p>
        </w:tc>
        <w:tc>
          <w:tcPr/>
          <w:p>
            <w:pPr>
              <w:pStyle w:val="Compact"/>
              <w:jc w:val="left"/>
            </w:pPr>
            <w:r>
              <w:t xml:space="preserve">Thermal Imaging Camera, Infrared, 640×480 resolution, for non-contact temperature mapping in Tehran laboratory</w:t>
            </w:r>
          </w:p>
        </w:tc>
        <w:tc>
          <w:tcPr/>
          <w:p>
            <w:pPr>
              <w:pStyle w:val="Compact"/>
              <w:jc w:val="left"/>
            </w:pPr>
            <w:r>
              <w:t xml:space="preserve">EN 60950-1</w:t>
            </w:r>
          </w:p>
        </w:tc>
        <w:tc>
          <w:tcPr/>
          <w:p>
            <w:pPr>
              <w:pStyle w:val="Compact"/>
              <w:jc w:val="left"/>
            </w:pPr>
            <w:r>
              <w:t xml:space="preserve">1</w:t>
            </w:r>
          </w:p>
        </w:tc>
        <w:tc>
          <w:tcPr/>
          <w:p>
            <w:pPr>
              <w:pStyle w:val="Compact"/>
              <w:jc w:val="left"/>
            </w:pPr>
            <w:r>
              <w:t xml:space="preserve">215,000,000</w:t>
            </w:r>
          </w:p>
        </w:tc>
        <w:tc>
          <w:tcPr/>
          <w:p>
            <w:pPr>
              <w:pStyle w:val="Compact"/>
              <w:jc w:val="left"/>
            </w:pPr>
            <w:r>
              <w:t xml:space="preserve">215,000,000</w:t>
            </w:r>
          </w:p>
        </w:tc>
      </w:tr>
      <w:tr>
        <w:tc>
          <w:tcPr/>
          <w:p>
            <w:pPr>
              <w:pStyle w:val="Compact"/>
              <w:jc w:val="left"/>
            </w:pPr>
            <w:r>
              <w:t xml:space="preserve">5</w:t>
            </w:r>
          </w:p>
        </w:tc>
        <w:tc>
          <w:tcPr/>
          <w:p>
            <w:pPr>
              <w:pStyle w:val="Compact"/>
              <w:jc w:val="left"/>
            </w:pPr>
            <w:r>
              <w:t xml:space="preserve">Academic Reference Books: "Fundamentals of Heat and Mass Transfer" (8th Ed.), "Advanced Engineering Thermodynamics" (4th Ed.), and "Iranian Standards for Thermal Systems (ISIRI 2847)"</w:t>
            </w:r>
          </w:p>
        </w:tc>
        <w:tc>
          <w:tcPr/>
          <w:p>
            <w:pPr>
              <w:pStyle w:val="Compact"/>
              <w:jc w:val="left"/>
            </w:pPr>
            <w:r>
              <w:t xml:space="preserve">ISBN / ISIRI</w:t>
            </w:r>
          </w:p>
        </w:tc>
        <w:tc>
          <w:tcPr/>
          <w:p>
            <w:pPr>
              <w:pStyle w:val="Compact"/>
              <w:jc w:val="left"/>
            </w:pPr>
            <w:r>
              <w:t xml:space="preserve">10</w:t>
            </w:r>
          </w:p>
        </w:tc>
        <w:tc>
          <w:tcPr/>
          <w:p>
            <w:pPr>
              <w:pStyle w:val="Compact"/>
              <w:jc w:val="left"/>
            </w:pPr>
            <w:r>
              <w:t xml:space="preserve">3,200,000</w:t>
            </w:r>
          </w:p>
        </w:tc>
        <w:tc>
          <w:tcPr/>
          <w:p>
            <w:pPr>
              <w:pStyle w:val="Compact"/>
              <w:jc w:val="left"/>
            </w:pPr>
            <w:r>
              <w:t xml:space="preserve">32,000,000</w:t>
            </w:r>
          </w:p>
        </w:tc>
      </w:tr>
      <w:tr>
        <w:tc>
          <w:tcPr/>
          <w:p>
            <w:pPr>
              <w:pStyle w:val="Compact"/>
              <w:jc w:val="left"/>
            </w:pPr>
            <w:r>
              <w:t xml:space="preserve">6</w:t>
            </w:r>
          </w:p>
        </w:tc>
        <w:tc>
          <w:tcPr/>
          <w:p>
            <w:pPr>
              <w:pStyle w:val="Compact"/>
              <w:jc w:val="left"/>
            </w:pPr>
            <w:r>
              <w:t xml:space="preserve">Lab-Grade Glycerol-Water Heat Transfer Fluid, 200L drum, for Professor's convective heat transfer experiments</w:t>
            </w:r>
          </w:p>
        </w:tc>
        <w:tc>
          <w:tcPr/>
          <w:p>
            <w:pPr>
              <w:pStyle w:val="Compact"/>
              <w:jc w:val="left"/>
            </w:pPr>
            <w:r>
              <w:t xml:space="preserve">ASTM D1164</w:t>
            </w:r>
          </w:p>
        </w:tc>
        <w:tc>
          <w:tcPr/>
          <w:p>
            <w:pPr>
              <w:pStyle w:val="Compact"/>
              <w:jc w:val="left"/>
            </w:pPr>
            <w:r>
              <w:t xml:space="preserve">4</w:t>
            </w:r>
          </w:p>
        </w:tc>
        <w:tc>
          <w:tcPr/>
          <w:p>
            <w:pPr>
              <w:pStyle w:val="Compact"/>
              <w:jc w:val="left"/>
            </w:pPr>
            <w:r>
              <w:t xml:space="preserve">8,500,000</w:t>
            </w:r>
          </w:p>
        </w:tc>
        <w:tc>
          <w:tcPr/>
          <w:p>
            <w:pPr>
              <w:pStyle w:val="Compact"/>
              <w:jc w:val="left"/>
            </w:pPr>
            <w:r>
              <w:t xml:space="preserve">34,000,000</w:t>
            </w:r>
          </w:p>
        </w:tc>
      </w:tr>
      <w:tr>
        <w:tc>
          <w:tcPr/>
          <w:p>
            <w:pPr>
              <w:pStyle w:val="Compact"/>
              <w:jc w:val="left"/>
            </w:pPr>
            <w:r>
              <w:t xml:space="preserve">7</w:t>
            </w:r>
          </w:p>
        </w:tc>
        <w:tc>
          <w:tcPr/>
          <w:p>
            <w:pPr>
              <w:pStyle w:val="Compact"/>
              <w:jc w:val="left"/>
            </w:pPr>
            <w:r>
              <w:t xml:space="preserve">Custom Machined Aluminum Test Plates (100×100×5 mm), anodized, for Tehran-based micro-channel research</w:t>
            </w:r>
          </w:p>
        </w:tc>
        <w:tc>
          <w:tcPr/>
          <w:p>
            <w:pPr>
              <w:pStyle w:val="Compact"/>
              <w:jc w:val="left"/>
            </w:pPr>
            <w:r>
              <w:t xml:space="preserve">Al 6061-T6, Custom</w:t>
            </w:r>
          </w:p>
        </w:tc>
        <w:tc>
          <w:tcPr/>
          <w:p>
            <w:pPr>
              <w:pStyle w:val="Compact"/>
              <w:jc w:val="left"/>
            </w:pPr>
            <w:r>
              <w:t xml:space="preserve">50</w:t>
            </w:r>
          </w:p>
        </w:tc>
        <w:tc>
          <w:tcPr/>
          <w:p>
            <w:pPr>
              <w:pStyle w:val="Compact"/>
              <w:jc w:val="left"/>
            </w:pPr>
            <w:r>
              <w:t xml:space="preserve">1,800,000</w:t>
            </w:r>
          </w:p>
        </w:tc>
        <w:tc>
          <w:tcPr/>
          <w:p>
            <w:pPr>
              <w:pStyle w:val="Compact"/>
              <w:jc w:val="left"/>
            </w:pPr>
            <w:r>
              <w:t xml:space="preserve">90,000,000</w:t>
            </w:r>
          </w:p>
        </w:tc>
      </w:tr>
      <w:tr>
        <w:tc>
          <w:tcPr/>
          <w:p>
            <w:pPr>
              <w:pStyle w:val="Compact"/>
              <w:jc w:val="left"/>
            </w:pPr>
            <w:r>
              <w:t xml:space="preserve">8</w:t>
            </w:r>
          </w:p>
        </w:tc>
        <w:tc>
          <w:tcPr/>
          <w:p>
            <w:pPr>
              <w:pStyle w:val="Compact"/>
              <w:jc w:val="left"/>
            </w:pPr>
            <w:r>
              <w:t xml:space="preserve">Professional Data Logging Software License (5-year), with Persian (Farsi) language interface for Professor's team</w:t>
            </w:r>
          </w:p>
        </w:tc>
        <w:tc>
          <w:tcPr/>
          <w:p>
            <w:pPr>
              <w:pStyle w:val="Compact"/>
              <w:jc w:val="left"/>
            </w:pPr>
            <w:r>
              <w:t xml:space="preserve">Proprietary</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gridSpan w:val="5"/>
          </w:tcPr>
          <w:p>
            <w:pPr>
              <w:pStyle w:val="Compact"/>
              <w:jc w:val="right"/>
            </w:pPr>
            <w:r>
              <w:t xml:space="preserve">Subtotal (IRR)</w:t>
            </w:r>
          </w:p>
        </w:tc>
        <w:tc>
          <w:tcPr/>
          <w:p>
            <w:pPr>
              <w:pStyle w:val="Compact"/>
              <w:jc w:val="left"/>
            </w:pPr>
            <w:r>
              <w:t xml:space="preserve">909,800,000</w:t>
            </w:r>
          </w:p>
        </w:tc>
      </w:tr>
      <w:tr>
        <w:tc>
          <w:tcPr>
            <w:gridSpan w:val="5"/>
          </w:tcPr>
          <w:p>
            <w:pPr>
              <w:pStyle w:val="Compact"/>
              <w:jc w:val="right"/>
            </w:pPr>
            <w:r>
              <w:t xml:space="preserve">VAT (10% per Iranian Tax Law)</w:t>
            </w:r>
          </w:p>
        </w:tc>
        <w:tc>
          <w:tcPr/>
          <w:p>
            <w:pPr>
              <w:pStyle w:val="Compact"/>
              <w:jc w:val="left"/>
            </w:pPr>
            <w:r>
              <w:t xml:space="preserve">90,980,000</w:t>
            </w:r>
          </w:p>
        </w:tc>
      </w:tr>
      <w:tr>
        <w:tc>
          <w:tcPr>
            <w:gridSpan w:val="5"/>
          </w:tcPr>
          <w:p>
            <w:pPr>
              <w:pStyle w:val="Compact"/>
              <w:jc w:val="right"/>
            </w:pPr>
            <w:r>
              <w:t xml:space="preserve">Delivery &amp; Installation within Tehran Metropolitan Area</w:t>
            </w:r>
          </w:p>
        </w:tc>
        <w:tc>
          <w:tcPr/>
          <w:p>
            <w:pPr>
              <w:pStyle w:val="Compact"/>
              <w:jc w:val="left"/>
            </w:pPr>
            <w:r>
              <w:t xml:space="preserve">12,000,000</w:t>
            </w:r>
          </w:p>
        </w:tc>
      </w:tr>
      <w:tr>
        <w:tc>
          <w:tcPr>
            <w:gridSpan w:val="5"/>
          </w:tcPr>
          <w:p>
            <w:pPr>
              <w:pStyle w:val="Compact"/>
              <w:jc w:val="right"/>
            </w:pPr>
            <w:r>
              <w:rPr>
                <w:bCs/>
                <w:b/>
              </w:rPr>
              <w:t xml:space="preserve">GRAND TOTAL (IRR)</w:t>
            </w:r>
          </w:p>
        </w:tc>
        <w:tc>
          <w:tcPr/>
          <w:p>
            <w:pPr>
              <w:pStyle w:val="Compact"/>
              <w:jc w:val="left"/>
            </w:pPr>
            <w:r>
              <w:rPr>
                <w:bCs/>
                <w:b/>
              </w:rPr>
              <w:t xml:space="preserve">1,012,780,000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Delivery:</w:t>
      </w:r>
      <w:r>
        <w:t xml:space="preserve"> </w:t>
      </w:r>
      <w:r>
        <w:t xml:space="preserve">All items shall be delivered to the Professor's laboratory at the University of Tehran, Enghelab Avenue, Tehran, Iran, no later than 30 calendar days from the date of this Purchase Order. Delivery within the Tehran city limits is included in the quoted price.</w:t>
      </w:r>
    </w:p>
    <w:p>
      <w:pPr>
        <w:numPr>
          <w:ilvl w:val="0"/>
          <w:numId w:val="1001"/>
        </w:numPr>
        <w:pStyle w:val="Compact"/>
      </w:pPr>
      <w:r>
        <w:rPr>
          <w:bCs/>
          <w:b/>
        </w:rPr>
        <w:t xml:space="preserve">Payment Terms:</w:t>
      </w:r>
      <w:r>
        <w:t xml:space="preserve"> </w:t>
      </w:r>
      <w:r>
        <w:t xml:space="preserve">Payment shall be made in Iranian Rial (IRR) via bank transfer to the supplier's account at Bank Melli Iran, Tehran branch, within 15 business days of confirmed receipt and satisfactory inspection of all goods by the Professor and the Department's Quality Assurance Committee.</w:t>
      </w:r>
    </w:p>
    <w:p>
      <w:pPr>
        <w:numPr>
          <w:ilvl w:val="0"/>
          <w:numId w:val="1001"/>
        </w:numPr>
        <w:pStyle w:val="Compact"/>
      </w:pPr>
      <w:r>
        <w:rPr>
          <w:bCs/>
          <w:b/>
        </w:rPr>
        <w:t xml:space="preserve">Warranty:</w:t>
      </w:r>
      <w:r>
        <w:t xml:space="preserve"> </w:t>
      </w:r>
      <w:r>
        <w:t xml:space="preserve">The supplier shall provide a minimum 24-month warranty on all electronic and mechanical equipment. The warranty shall be serviced locally in Tehran, Iran, with response time not exceeding 48 hours.</w:t>
      </w:r>
    </w:p>
    <w:p>
      <w:pPr>
        <w:numPr>
          <w:ilvl w:val="0"/>
          <w:numId w:val="1001"/>
        </w:numPr>
        <w:pStyle w:val="Compact"/>
      </w:pPr>
      <w:r>
        <w:rPr>
          <w:bCs/>
          <w:b/>
        </w:rPr>
        <w:t xml:space="preserve">Compliance:</w:t>
      </w:r>
      <w:r>
        <w:t xml:space="preserve"> </w:t>
      </w:r>
      <w:r>
        <w:t xml:space="preserve">All equipment must comply with the relevant Iranian National Standards (ISIRI) and the specifications outlined in this Purchase Order. The Professor reserves the right to reject any item that does not meet the stated academic and research requirements.</w:t>
      </w:r>
    </w:p>
    <w:p>
      <w:pPr>
        <w:numPr>
          <w:ilvl w:val="0"/>
          <w:numId w:val="1001"/>
        </w:numPr>
        <w:pStyle w:val="Compact"/>
      </w:pPr>
      <w:r>
        <w:rPr>
          <w:bCs/>
          <w:b/>
        </w:rPr>
        <w:t xml:space="preserve">Installation and Training:</w:t>
      </w:r>
      <w:r>
        <w:t xml:space="preserve"> </w:t>
      </w:r>
      <w:r>
        <w:t xml:space="preserve">The supplier shall provide on-site installation of the test rig and data acquisition system at the University of Tehran, Tehran, Iran, and shall conduct a minimum 4-hour training session for the Professor and two graduate research assistants.</w:t>
      </w:r>
    </w:p>
    <w:p>
      <w:pPr>
        <w:numPr>
          <w:ilvl w:val="0"/>
          <w:numId w:val="1001"/>
        </w:numPr>
        <w:pStyle w:val="Compact"/>
      </w:pPr>
      <w:r>
        <w:rPr>
          <w:bCs/>
          <w:b/>
        </w:rPr>
        <w:t xml:space="preserve">Dispute Resolution:</w:t>
      </w:r>
      <w:r>
        <w:t xml:space="preserve"> </w:t>
      </w:r>
      <w:r>
        <w:t xml:space="preserve">Any disputes arising from this Purchase Order shall be resolved in accordance with the Commercial Code of the Islamic Republic of Iran and shall be subject to the jurisdiction of the Tehran Commercial Court.</w:t>
      </w:r>
    </w:p>
    <w:p>
      <w:pPr>
        <w:numPr>
          <w:ilvl w:val="0"/>
          <w:numId w:val="1001"/>
        </w:numPr>
        <w:pStyle w:val="Compact"/>
      </w:pPr>
      <w:r>
        <w:rPr>
          <w:bCs/>
          <w:b/>
        </w:rPr>
        <w:t xml:space="preserve">Confidentiality:</w:t>
      </w:r>
      <w:r>
        <w:t xml:space="preserve"> </w:t>
      </w:r>
      <w:r>
        <w:t xml:space="preserve">The supplier acknowledges that the research conducted by the Professor is under a funded grant and shall not disclose project details, experimental data, or research methodologies to any third party without written consent from the University of Tehran.</w:t>
      </w:r>
    </w:p>
    <w:bookmarkEnd w:id="26"/>
    <w:bookmarkStart w:id="27" w:name="authorization-and-signatures"/>
    <w:p>
      <w:pPr>
        <w:pStyle w:val="Heading2"/>
      </w:pPr>
      <w:r>
        <w:t xml:space="preserve">5. Authorization and Signatures</w:t>
      </w:r>
    </w:p>
    <w:p>
      <w:pPr>
        <w:pStyle w:val="FirstParagraph"/>
      </w:pPr>
      <w:r>
        <w:t xml:space="preserve">This Purchase Order is valid upon the signatures of all parties listed below. By signing, each party acknowledges and agrees to all terms, conditions, and specifications set forth in this document. This Purchase Order constitutes a binding agreement between the University of Tehran, Tehran, Iran, and the named supplier for the procurement of academic and research supplies for the Professor's laboratory.</w:t>
      </w:r>
    </w:p>
    <w:p>
      <w:pPr>
        <w:pStyle w:val="BodyText"/>
      </w:pPr>
      <w:r>
        <w:rPr>
          <w:bCs/>
          <w:b/>
        </w:rPr>
        <w:t xml:space="preserve">Dr. Ahmad Reza Karimi</w:t>
      </w:r>
      <w:r>
        <w:br/>
      </w:r>
      <w:r>
        <w:t xml:space="preserve">Head of Department, Mechanical Engineering</w:t>
      </w:r>
      <w:r>
        <w:br/>
      </w:r>
      <w:r>
        <w:t xml:space="preserve">University of Tehran, Tehran, Iran</w:t>
      </w:r>
      <w:r>
        <w:br/>
      </w:r>
      <w:r>
        <w:t xml:space="preserve">Date: _______________</w:t>
      </w:r>
    </w:p>
    <w:p>
      <w:pPr>
        <w:pStyle w:val="BodyText"/>
      </w:pPr>
      <w:r>
        <w:rPr>
          <w:bCs/>
          <w:b/>
        </w:rPr>
        <w:t xml:space="preserve">Professor Dr. Maryam Hosseini</w:t>
      </w:r>
      <w:r>
        <w:br/>
      </w:r>
      <w:r>
        <w:t xml:space="preserve">Associate Professor, Requesting Academic</w:t>
      </w:r>
      <w:r>
        <w:br/>
      </w:r>
      <w:r>
        <w:t xml:space="preserve">University of Tehran, Tehran, Iran</w:t>
      </w:r>
      <w:r>
        <w:br/>
      </w:r>
      <w:r>
        <w:t xml:space="preserve">Date: _______________</w:t>
      </w:r>
    </w:p>
    <w:p>
      <w:pPr>
        <w:pStyle w:val="BodyText"/>
      </w:pPr>
      <w:r>
        <w:rPr>
          <w:bCs/>
          <w:b/>
        </w:rPr>
        <w:t xml:space="preserve">Mr. Reza Tahmasebi</w:t>
      </w:r>
      <w:r>
        <w:br/>
      </w:r>
      <w:r>
        <w:t xml:space="preserve">Authorized Sales Representative</w:t>
      </w:r>
      <w:r>
        <w:br/>
      </w:r>
      <w:r>
        <w:t xml:space="preserve">Tehran Scientific Instruments Co. (TSCI)</w:t>
      </w:r>
      <w:r>
        <w:br/>
      </w:r>
      <w:r>
        <w:t xml:space="preserve">Tehran, Iran</w:t>
      </w:r>
      <w:r>
        <w:br/>
      </w:r>
      <w:r>
        <w:t xml:space="preserve">Date: _______________</w:t>
      </w:r>
    </w:p>
    <w:bookmarkEnd w:id="27"/>
    <w:p>
      <w:pPr>
        <w:pStyle w:val="BodyText"/>
      </w:pPr>
      <w:r>
        <w:rPr>
          <w:bCs/>
          <w:b/>
        </w:rPr>
        <w:t xml:space="preserve">Note:</w:t>
      </w:r>
      <w:r>
        <w:t xml:space="preserve"> </w:t>
      </w:r>
      <w:r>
        <w:t xml:space="preserve">This Purchase Order is issued under the academic procurement framework of the University of Tehran, Tehran, Iran. All transactions are subject to the financial oversight of the University's Central Procurement Office and the Iranian Ministry of Science, Research, and Technology. The Professor named in this document is the primary academic recipient and technical authority for the acceptance of all goods and services listed herein.</w:t>
      </w:r>
    </w:p>
    <w:p>
      <w:pPr>
        <w:pStyle w:val="BodyText"/>
      </w:pPr>
      <w:r>
        <w:t xml:space="preserve">Purchase Order No: UT-FE-2025-04871 | University of Tehran, Tehran, Islamic Republic of Iran</w:t>
      </w:r>
    </w:p>
    <w:p>
      <w:pPr>
        <w:pStyle w:val="BodyText"/>
      </w:pPr>
      <w:r>
        <w:t xml:space="preserve">Document Classification: Internal — Academic Procurement | Page 1 of 1</w:t>
      </w:r>
    </w:p>
    <w:p>
      <w:pPr>
        <w:pStyle w:val="BodyText"/>
      </w:pPr>
      <w:r>
        <w:t xml:space="preserve">© 2025 University of Tehran Procurement Office.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Academic Supplies - Tehran, Iran</dc:title>
  <dc:creator/>
  <dc:language>en</dc:language>
  <cp:keywords/>
  <dcterms:created xsi:type="dcterms:W3CDTF">2026-10-10T05:06:35Z</dcterms:created>
  <dcterms:modified xsi:type="dcterms:W3CDTF">2026-10-10T05:06:35Z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