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Purchase</w:t>
      </w:r>
      <w:r>
        <w:t xml:space="preserve"> </w:t>
      </w:r>
      <w:r>
        <w:t xml:space="preserve">Order</w:t>
      </w:r>
      <w:r>
        <w:t xml:space="preserve"> </w:t>
      </w:r>
      <w:r>
        <w:t xml:space="preserve">-</w:t>
      </w:r>
      <w:r>
        <w:t xml:space="preserve"> </w:t>
      </w:r>
      <w:r>
        <w:t xml:space="preserve">Professor</w:t>
      </w:r>
      <w:r>
        <w:t xml:space="preserve"> </w:t>
      </w:r>
      <w:r>
        <w:t xml:space="preserve">Academic</w:t>
      </w:r>
      <w:r>
        <w:t xml:space="preserve"> </w:t>
      </w:r>
      <w:r>
        <w:t xml:space="preserve">Services</w:t>
      </w:r>
      <w:r>
        <w:t xml:space="preserve"> </w:t>
      </w:r>
      <w:r>
        <w:t xml:space="preserve">-</w:t>
      </w:r>
      <w:r>
        <w:t xml:space="preserve"> </w:t>
      </w:r>
      <w:r>
        <w:t xml:space="preserve">Kazakhstan</w:t>
      </w:r>
      <w:r>
        <w:t xml:space="preserve"> </w:t>
      </w:r>
      <w:r>
        <w:t xml:space="preserve">Almaty</w:t>
      </w:r>
    </w:p>
    <w:bookmarkStart w:id="20" w:name="purchase-order"/>
    <w:p>
      <w:pPr>
        <w:pStyle w:val="Heading1"/>
      </w:pPr>
      <w:r>
        <w:t xml:space="preserve">PURCHASE ORDER</w:t>
      </w:r>
    </w:p>
    <w:p>
      <w:pPr>
        <w:pStyle w:val="FirstParagraph"/>
      </w:pPr>
      <w:r>
        <w:t xml:space="preserve">Academic Consulting Services &amp; Research Materials Procurement</w:t>
      </w:r>
    </w:p>
    <w:p>
      <w:pPr>
        <w:pStyle w:val="BodyText"/>
      </w:pPr>
      <w:r>
        <w:t xml:space="preserve">PO No.: KZ-ALM-2025-00472</w:t>
      </w:r>
    </w:p>
    <w:p>
      <w:pPr>
        <w:pStyle w:val="BodyText"/>
      </w:pPr>
      <w:r>
        <w:t xml:space="preserve">Issued in Almaty, Republic of Kazakhstan</w:t>
      </w:r>
    </w:p>
    <w:bookmarkEnd w:id="20"/>
    <w:bookmarkStart w:id="21" w:name="purchasing-entity-buyer"/>
    <w:p>
      <w:pPr>
        <w:pStyle w:val="Heading3"/>
      </w:pPr>
      <w:r>
        <w:t xml:space="preserve">Purchasing Entity (Buyer)</w:t>
      </w:r>
    </w:p>
    <w:p>
      <w:pPr>
        <w:pStyle w:val="FirstParagraph"/>
      </w:pPr>
      <w:r>
        <w:rPr>
          <w:bCs/>
          <w:b/>
        </w:rPr>
        <w:t xml:space="preserve">Almaty State University of Economics and Finance</w:t>
      </w:r>
    </w:p>
    <w:p>
      <w:pPr>
        <w:pStyle w:val="BodyText"/>
      </w:pPr>
      <w:r>
        <w:t xml:space="preserve">105 Dostyk Avenue, Almaty, 050040</w:t>
      </w:r>
    </w:p>
    <w:p>
      <w:pPr>
        <w:pStyle w:val="BodyText"/>
      </w:pPr>
      <w:r>
        <w:t xml:space="preserve">Republic of Kazakhstan</w:t>
      </w:r>
    </w:p>
    <w:p>
      <w:pPr>
        <w:pStyle w:val="BodyText"/>
      </w:pPr>
      <w:r>
        <w:t xml:space="preserve">Tax ID (BIN): 990840001234</w:t>
      </w:r>
    </w:p>
    <w:p>
      <w:pPr>
        <w:pStyle w:val="BodyText"/>
      </w:pPr>
      <w:r>
        <w:t xml:space="preserve">Contact: Procurement Department</w:t>
      </w:r>
    </w:p>
    <w:p>
      <w:pPr>
        <w:pStyle w:val="BodyText"/>
      </w:pPr>
      <w:r>
        <w:t xml:space="preserve">Phone: +7 (727) 312-4567</w:t>
      </w:r>
    </w:p>
    <w:p>
      <w:pPr>
        <w:pStyle w:val="BodyText"/>
      </w:pPr>
      <w:r>
        <w:t xml:space="preserve">Email: procurement@asuef.kz</w:t>
      </w:r>
    </w:p>
    <w:bookmarkEnd w:id="21"/>
    <w:bookmarkStart w:id="22" w:name="supplier-service-provider"/>
    <w:p>
      <w:pPr>
        <w:pStyle w:val="Heading3"/>
      </w:pPr>
      <w:r>
        <w:t xml:space="preserve">Supplier / Service Provider</w:t>
      </w:r>
    </w:p>
    <w:p>
      <w:pPr>
        <w:pStyle w:val="FirstParagraph"/>
      </w:pPr>
      <w:r>
        <w:rPr>
          <w:bCs/>
          <w:b/>
        </w:rPr>
        <w:t xml:space="preserve">Professor Dr. Aibek Nurlanov, PhD</w:t>
      </w:r>
    </w:p>
    <w:p>
      <w:pPr>
        <w:pStyle w:val="BodyText"/>
      </w:pPr>
      <w:r>
        <w:t xml:space="preserve">Department of Applied Mathematics</w:t>
      </w:r>
    </w:p>
    <w:p>
      <w:pPr>
        <w:pStyle w:val="BodyText"/>
      </w:pPr>
      <w:r>
        <w:t xml:space="preserve">Al-Farabi Kazakh National University</w:t>
      </w:r>
    </w:p>
    <w:p>
      <w:pPr>
        <w:pStyle w:val="BodyText"/>
      </w:pPr>
      <w:r>
        <w:t xml:space="preserve">71 Al-Farabi Avenue, Almaty, 050040</w:t>
      </w:r>
    </w:p>
    <w:p>
      <w:pPr>
        <w:pStyle w:val="BodyText"/>
      </w:pPr>
      <w:r>
        <w:t xml:space="preserve">Republic of Kazakhstan</w:t>
      </w:r>
    </w:p>
    <w:p>
      <w:pPr>
        <w:pStyle w:val="BodyText"/>
      </w:pPr>
      <w:r>
        <w:t xml:space="preserve">Tax ID (BIN): 901234567890</w:t>
      </w:r>
    </w:p>
    <w:p>
      <w:pPr>
        <w:pStyle w:val="BodyText"/>
      </w:pPr>
      <w:r>
        <w:t xml:space="preserve">Contact: Professor Nurlanov's Office</w:t>
      </w:r>
    </w:p>
    <w:p>
      <w:pPr>
        <w:pStyle w:val="BodyText"/>
      </w:pPr>
      <w:r>
        <w:t xml:space="preserve">Phone: +7 (727) 293-8811</w:t>
      </w:r>
    </w:p>
    <w:p>
      <w:pPr>
        <w:pStyle w:val="BodyText"/>
      </w:pPr>
      <w:r>
        <w:t xml:space="preserve">Email: a.nurlanov@kaznu.kz</w:t>
      </w:r>
    </w:p>
    <w:bookmarkEnd w:id="22"/>
    <w:p>
      <w:pPr>
        <w:pStyle w:val="BodyText"/>
      </w:pPr>
      <w:r>
        <w:t xml:space="preserve">Order Details</w:t>
      </w:r>
    </w:p>
    <w:tbl>
      <w:tblPr>
        <w:tblStyle w:val="Table"/>
        <w:tblW w:type="auto" w:w="0"/>
        <w:tblLook w:firstRow="1" w:lastRow="0" w:firstColumn="0" w:lastColumn="0" w:noHBand="0" w:noVBand="0" w:val="0020"/>
      </w:tblPr>
      <w:tblGrid>
        <w:gridCol w:w="3960"/>
        <w:gridCol w:w="3960"/>
      </w:tblGrid>
      <w:tr>
        <w:trPr>
          <w:tblHeader w:val="true"/>
        </w:trPr>
        <w:tc>
          <w:tcPr/>
          <w:p>
            <w:pPr>
              <w:pStyle w:val="Compact"/>
              <w:jc w:val="left"/>
            </w:pPr>
            <w:r>
              <w:t xml:space="preserve">Field</w:t>
            </w:r>
          </w:p>
        </w:tc>
        <w:tc>
          <w:tcPr/>
          <w:p>
            <w:pPr>
              <w:pStyle w:val="Compact"/>
              <w:jc w:val="left"/>
            </w:pPr>
            <w:r>
              <w:t xml:space="preserve">Details</w:t>
            </w:r>
          </w:p>
        </w:tc>
      </w:tr>
      <w:tr>
        <w:tc>
          <w:tcPr/>
          <w:p>
            <w:pPr>
              <w:pStyle w:val="Compact"/>
              <w:jc w:val="left"/>
            </w:pPr>
            <w:r>
              <w:t xml:space="preserve">Purchase Order Date</w:t>
            </w:r>
          </w:p>
        </w:tc>
        <w:tc>
          <w:tcPr/>
          <w:p>
            <w:pPr>
              <w:pStyle w:val="Compact"/>
              <w:jc w:val="left"/>
            </w:pPr>
            <w:r>
              <w:t xml:space="preserve">15 June 2025</w:t>
            </w:r>
          </w:p>
        </w:tc>
      </w:tr>
      <w:tr>
        <w:tc>
          <w:tcPr/>
          <w:p>
            <w:pPr>
              <w:pStyle w:val="Compact"/>
              <w:jc w:val="left"/>
            </w:pPr>
            <w:r>
              <w:t xml:space="preserve">Required Delivery / Service Start Date</w:t>
            </w:r>
          </w:p>
        </w:tc>
        <w:tc>
          <w:tcPr/>
          <w:p>
            <w:pPr>
              <w:pStyle w:val="Compact"/>
              <w:jc w:val="left"/>
            </w:pPr>
            <w:r>
              <w:t xml:space="preserve">01 July 2025</w:t>
            </w:r>
          </w:p>
        </w:tc>
      </w:tr>
      <w:tr>
        <w:tc>
          <w:tcPr/>
          <w:p>
            <w:pPr>
              <w:pStyle w:val="Compact"/>
              <w:jc w:val="left"/>
            </w:pPr>
            <w:r>
              <w:t xml:space="preserve">Service Completion Deadline</w:t>
            </w:r>
          </w:p>
        </w:tc>
        <w:tc>
          <w:tcPr/>
          <w:p>
            <w:pPr>
              <w:pStyle w:val="Compact"/>
              <w:jc w:val="left"/>
            </w:pPr>
            <w:r>
              <w:t xml:space="preserve">30 November 2025</w:t>
            </w:r>
          </w:p>
        </w:tc>
      </w:tr>
      <w:tr>
        <w:tc>
          <w:tcPr/>
          <w:p>
            <w:pPr>
              <w:pStyle w:val="Compact"/>
              <w:jc w:val="left"/>
            </w:pPr>
            <w:r>
              <w:t xml:space="preserve">Payment Terms</w:t>
            </w:r>
          </w:p>
        </w:tc>
        <w:tc>
          <w:tcPr/>
          <w:p>
            <w:pPr>
              <w:pStyle w:val="Compact"/>
              <w:jc w:val="left"/>
            </w:pPr>
            <w:r>
              <w:t xml:space="preserve">Net 30 days from invoice date, payable in Kazakhstani Tenge (KZT)</w:t>
            </w:r>
          </w:p>
        </w:tc>
      </w:tr>
      <w:tr>
        <w:tc>
          <w:tcPr/>
          <w:p>
            <w:pPr>
              <w:pStyle w:val="Compact"/>
              <w:jc w:val="left"/>
            </w:pPr>
            <w:r>
              <w:t xml:space="preserve">Delivery Location</w:t>
            </w:r>
          </w:p>
        </w:tc>
        <w:tc>
          <w:tcPr/>
          <w:p>
            <w:pPr>
              <w:pStyle w:val="Compact"/>
              <w:jc w:val="left"/>
            </w:pPr>
            <w:r>
              <w:t xml:space="preserve">Almaty State University of Economics and Finance, 105 Dostyk Avenue, Almaty, Kazakhstan</w:t>
            </w:r>
          </w:p>
        </w:tc>
      </w:tr>
      <w:tr>
        <w:tc>
          <w:tcPr/>
          <w:p>
            <w:pPr>
              <w:pStyle w:val="Compact"/>
              <w:jc w:val="left"/>
            </w:pPr>
            <w:r>
              <w:t xml:space="preserve">Governing Law</w:t>
            </w:r>
          </w:p>
        </w:tc>
        <w:tc>
          <w:tcPr/>
          <w:p>
            <w:pPr>
              <w:pStyle w:val="Compact"/>
              <w:jc w:val="left"/>
            </w:pPr>
            <w:r>
              <w:t xml:space="preserve">Civil Code of the Republic of Kazakhstan; Commercial Code of the Republic of Kazakhstan</w:t>
            </w:r>
          </w:p>
        </w:tc>
      </w:tr>
      <w:tr>
        <w:tc>
          <w:tcPr/>
          <w:p>
            <w:pPr>
              <w:pStyle w:val="Compact"/>
              <w:jc w:val="left"/>
            </w:pPr>
            <w:r>
              <w:t xml:space="preserve">Currency</w:t>
            </w:r>
          </w:p>
        </w:tc>
        <w:tc>
          <w:tcPr/>
          <w:p>
            <w:pPr>
              <w:pStyle w:val="Compact"/>
              <w:jc w:val="left"/>
            </w:pPr>
            <w:r>
              <w:t xml:space="preserve">Kazakhstani Tenge (KZT / ₸)</w:t>
            </w:r>
          </w:p>
        </w:tc>
      </w:tr>
    </w:tbl>
    <w:p>
      <w:pPr>
        <w:pStyle w:val="BodyText"/>
      </w:pPr>
      <w:r>
        <w:t xml:space="preserve">Description of Goods and Services</w:t>
      </w:r>
    </w:p>
    <w:p>
      <w:pPr>
        <w:pStyle w:val="BodyText"/>
      </w:pPr>
      <w:r>
        <w:t xml:space="preserve">This Purchase Order is issued by Almaty State University of Economics and Finance (hereinafter referred to as the "Buyer") to</w:t>
      </w:r>
      <w:r>
        <w:t xml:space="preserve"> </w:t>
      </w:r>
      <w:r>
        <w:t xml:space="preserve">Professor Dr. Aibek Nurlanov</w:t>
      </w:r>
      <w:r>
        <w:t xml:space="preserve"> </w:t>
      </w:r>
      <w:r>
        <w:t xml:space="preserve">(hereinafter referred to as the "Professor" or "Supplier") for the provision of specialized academic consulting services, research supervision, and the supply of related educational materials. The Professor shall render all services in accordance with the academic standards established in the Republic of Kazakhstan and shall conduct all professional activities within the city of Almaty unless otherwise agreed in writing.</w:t>
      </w:r>
    </w:p>
    <w:tbl>
      <w:tblPr>
        <w:tblStyle w:val="Table"/>
        <w:tblW w:type="auto" w:w="0"/>
        <w:tblLook w:firstRow="1" w:lastRow="0" w:firstColumn="0" w:lastColumn="0" w:noHBand="0" w:noVBand="0" w:val="0020"/>
      </w:tblPr>
      <w:tblGrid>
        <w:gridCol w:w="1584"/>
        <w:gridCol w:w="1584"/>
        <w:gridCol w:w="1584"/>
        <w:gridCol w:w="1584"/>
        <w:gridCol w:w="1584"/>
      </w:tblGrid>
      <w:tr>
        <w:trPr>
          <w:tblHeader w:val="true"/>
        </w:trPr>
        <w:tc>
          <w:tcPr/>
          <w:p>
            <w:pPr>
              <w:pStyle w:val="Compact"/>
              <w:jc w:val="left"/>
            </w:pPr>
            <w:r>
              <w:t xml:space="preserve">Item No.</w:t>
            </w:r>
          </w:p>
        </w:tc>
        <w:tc>
          <w:tcPr/>
          <w:p>
            <w:pPr>
              <w:pStyle w:val="Compact"/>
              <w:jc w:val="left"/>
            </w:pPr>
            <w:r>
              <w:t xml:space="preserve">Description</w:t>
            </w:r>
          </w:p>
        </w:tc>
        <w:tc>
          <w:tcPr/>
          <w:p>
            <w:pPr>
              <w:pStyle w:val="Compact"/>
              <w:jc w:val="left"/>
            </w:pPr>
            <w:r>
              <w:t xml:space="preserve">Quantity</w:t>
            </w:r>
          </w:p>
        </w:tc>
        <w:tc>
          <w:tcPr/>
          <w:p>
            <w:pPr>
              <w:pStyle w:val="Compact"/>
              <w:jc w:val="left"/>
            </w:pPr>
            <w:r>
              <w:t xml:space="preserve">Unit Price (KZT)</w:t>
            </w:r>
          </w:p>
        </w:tc>
        <w:tc>
          <w:tcPr/>
          <w:p>
            <w:pPr>
              <w:pStyle w:val="Compact"/>
              <w:jc w:val="left"/>
            </w:pPr>
            <w:r>
              <w:t xml:space="preserve">Total (KZT)</w:t>
            </w:r>
          </w:p>
        </w:tc>
      </w:tr>
      <w:tr>
        <w:tc>
          <w:tcPr/>
          <w:p>
            <w:pPr>
              <w:pStyle w:val="Compact"/>
              <w:jc w:val="left"/>
            </w:pPr>
            <w:r>
              <w:t xml:space="preserve">1</w:t>
            </w:r>
          </w:p>
        </w:tc>
        <w:tc>
          <w:tcPr/>
          <w:p>
            <w:pPr>
              <w:pStyle w:val="Compact"/>
              <w:jc w:val="left"/>
            </w:pPr>
            <w:r>
              <w:t xml:space="preserve">Academic consulting services by the Professor for the development of a doctoral research program in Applied Econometrics, including weekly seminars, thesis supervision, and peer review of research papers. Services to be conducted at the Almaty campus.</w:t>
            </w:r>
          </w:p>
        </w:tc>
        <w:tc>
          <w:tcPr/>
          <w:p>
            <w:pPr>
              <w:pStyle w:val="Compact"/>
              <w:jc w:val="left"/>
            </w:pPr>
            <w:r>
              <w:t xml:space="preserve">24 sessions</w:t>
            </w:r>
          </w:p>
        </w:tc>
        <w:tc>
          <w:tcPr/>
          <w:p>
            <w:pPr>
              <w:pStyle w:val="Compact"/>
              <w:jc w:val="left"/>
            </w:pPr>
            <w:r>
              <w:t xml:space="preserve">185,000</w:t>
            </w:r>
          </w:p>
        </w:tc>
        <w:tc>
          <w:tcPr/>
          <w:p>
            <w:pPr>
              <w:pStyle w:val="Compact"/>
              <w:jc w:val="left"/>
            </w:pPr>
            <w:r>
              <w:t xml:space="preserve">4,440,000</w:t>
            </w:r>
          </w:p>
        </w:tc>
      </w:tr>
      <w:tr>
        <w:tc>
          <w:tcPr/>
          <w:p>
            <w:pPr>
              <w:pStyle w:val="Compact"/>
              <w:jc w:val="left"/>
            </w:pPr>
            <w:r>
              <w:t xml:space="preserve">2</w:t>
            </w:r>
          </w:p>
        </w:tc>
        <w:tc>
          <w:tcPr/>
          <w:p>
            <w:pPr>
              <w:pStyle w:val="Compact"/>
              <w:jc w:val="left"/>
            </w:pPr>
            <w:r>
              <w:t xml:space="preserve">Preparation and delivery of a comprehensive lecture series (12 modules) on Advanced Statistical Modeling for graduate students, including printed course materials and digital access to the Professor's proprietary research database.</w:t>
            </w:r>
          </w:p>
        </w:tc>
        <w:tc>
          <w:tcPr/>
          <w:p>
            <w:pPr>
              <w:pStyle w:val="Compact"/>
              <w:jc w:val="left"/>
            </w:pPr>
            <w:r>
              <w:t xml:space="preserve">12 modules</w:t>
            </w:r>
          </w:p>
        </w:tc>
        <w:tc>
          <w:tcPr/>
          <w:p>
            <w:pPr>
              <w:pStyle w:val="Compact"/>
              <w:jc w:val="left"/>
            </w:pPr>
            <w:r>
              <w:t xml:space="preserve">320,000</w:t>
            </w:r>
          </w:p>
        </w:tc>
        <w:tc>
          <w:tcPr/>
          <w:p>
            <w:pPr>
              <w:pStyle w:val="Compact"/>
              <w:jc w:val="left"/>
            </w:pPr>
            <w:r>
              <w:t xml:space="preserve">3,840,000</w:t>
            </w:r>
          </w:p>
        </w:tc>
      </w:tr>
      <w:tr>
        <w:tc>
          <w:tcPr/>
          <w:p>
            <w:pPr>
              <w:pStyle w:val="Compact"/>
              <w:jc w:val="left"/>
            </w:pPr>
            <w:r>
              <w:t xml:space="preserve">3</w:t>
            </w:r>
          </w:p>
        </w:tc>
        <w:tc>
          <w:tcPr/>
          <w:p>
            <w:pPr>
              <w:pStyle w:val="Compact"/>
              <w:jc w:val="left"/>
            </w:pPr>
            <w:r>
              <w:t xml:space="preserve">Supply of 50 (fifty) copies of the Professor's published monograph "Econometric Methods in Central Asian Markets" (2nd Edition, 2024), published by Almaty Academic Press, Kazakhstan.</w:t>
            </w:r>
          </w:p>
        </w:tc>
        <w:tc>
          <w:tcPr/>
          <w:p>
            <w:pPr>
              <w:pStyle w:val="Compact"/>
              <w:jc w:val="left"/>
            </w:pPr>
            <w:r>
              <w:t xml:space="preserve">50 copies</w:t>
            </w:r>
          </w:p>
        </w:tc>
        <w:tc>
          <w:tcPr/>
          <w:p>
            <w:pPr>
              <w:pStyle w:val="Compact"/>
              <w:jc w:val="left"/>
            </w:pPr>
            <w:r>
              <w:t xml:space="preserve">12,500</w:t>
            </w:r>
          </w:p>
        </w:tc>
        <w:tc>
          <w:tcPr/>
          <w:p>
            <w:pPr>
              <w:pStyle w:val="Compact"/>
              <w:jc w:val="left"/>
            </w:pPr>
            <w:r>
              <w:t xml:space="preserve">625,000</w:t>
            </w:r>
          </w:p>
        </w:tc>
      </w:tr>
      <w:tr>
        <w:tc>
          <w:tcPr/>
          <w:p>
            <w:pPr>
              <w:pStyle w:val="Compact"/>
              <w:jc w:val="left"/>
            </w:pPr>
            <w:r>
              <w:t xml:space="preserve">4</w:t>
            </w:r>
          </w:p>
        </w:tc>
        <w:tc>
          <w:tcPr/>
          <w:p>
            <w:pPr>
              <w:pStyle w:val="Compact"/>
              <w:jc w:val="left"/>
            </w:pPr>
            <w:r>
              <w:t xml:space="preserve">Licensing of the Professor's proprietary computational software "KazStat Pro v4.2" for institutional use at the Almaty campus, including installation, training for 15 faculty members, and one year of technical support.</w:t>
            </w:r>
          </w:p>
        </w:tc>
        <w:tc>
          <w:tcPr/>
          <w:p>
            <w:pPr>
              <w:pStyle w:val="Compact"/>
              <w:jc w:val="left"/>
            </w:pPr>
            <w:r>
              <w:t xml:space="preserve">1 license</w:t>
            </w:r>
          </w:p>
        </w:tc>
        <w:tc>
          <w:tcPr/>
          <w:p>
            <w:pPr>
              <w:pStyle w:val="Compact"/>
              <w:jc w:val="left"/>
            </w:pPr>
            <w:r>
              <w:t xml:space="preserve">2,750,000</w:t>
            </w:r>
          </w:p>
        </w:tc>
        <w:tc>
          <w:tcPr/>
          <w:p>
            <w:pPr>
              <w:pStyle w:val="Compact"/>
              <w:jc w:val="left"/>
            </w:pPr>
            <w:r>
              <w:t xml:space="preserve">2,750,000</w:t>
            </w:r>
          </w:p>
        </w:tc>
      </w:tr>
      <w:tr>
        <w:tc>
          <w:tcPr/>
          <w:p>
            <w:pPr>
              <w:pStyle w:val="Compact"/>
              <w:jc w:val="left"/>
            </w:pPr>
            <w:r>
              <w:t xml:space="preserve">5</w:t>
            </w:r>
          </w:p>
        </w:tc>
        <w:tc>
          <w:tcPr/>
          <w:p>
            <w:pPr>
              <w:pStyle w:val="Compact"/>
              <w:jc w:val="left"/>
            </w:pPr>
            <w:r>
              <w:t xml:space="preserve">Organization and facilitation of a two-day international research workshop in Almaty, Kazakhstan, co-chaired by the Professor, including venue coordination, translation services (Kazakh, Russian, English), and participant materials.</w:t>
            </w:r>
          </w:p>
        </w:tc>
        <w:tc>
          <w:tcPr/>
          <w:p>
            <w:pPr>
              <w:pStyle w:val="Compact"/>
              <w:jc w:val="left"/>
            </w:pPr>
            <w:r>
              <w:t xml:space="preserve">1 event</w:t>
            </w:r>
          </w:p>
        </w:tc>
        <w:tc>
          <w:tcPr/>
          <w:p>
            <w:pPr>
              <w:pStyle w:val="Compact"/>
              <w:jc w:val="left"/>
            </w:pPr>
            <w:r>
              <w:t xml:space="preserve">1,900,000</w:t>
            </w:r>
          </w:p>
        </w:tc>
        <w:tc>
          <w:tcPr/>
          <w:p>
            <w:pPr>
              <w:pStyle w:val="Compact"/>
              <w:jc w:val="left"/>
            </w:pPr>
            <w:r>
              <w:t xml:space="preserve">1,900,000</w:t>
            </w:r>
          </w:p>
        </w:tc>
      </w:tr>
      <w:tr>
        <w:tc>
          <w:tcPr>
            <w:gridSpan w:val="4"/>
          </w:tcPr>
          <w:p>
            <w:pPr>
              <w:pStyle w:val="Compact"/>
              <w:jc w:val="right"/>
            </w:pPr>
            <w:r>
              <w:t xml:space="preserve">SUBTOTAL</w:t>
            </w:r>
          </w:p>
        </w:tc>
        <w:tc>
          <w:tcPr/>
          <w:p>
            <w:pPr>
              <w:pStyle w:val="Compact"/>
              <w:jc w:val="left"/>
            </w:pPr>
            <w:r>
              <w:t xml:space="preserve">13,555,000</w:t>
            </w:r>
          </w:p>
        </w:tc>
      </w:tr>
      <w:tr>
        <w:tc>
          <w:tcPr>
            <w:gridSpan w:val="4"/>
          </w:tcPr>
          <w:p>
            <w:pPr>
              <w:pStyle w:val="Compact"/>
              <w:jc w:val="right"/>
            </w:pPr>
            <w:r>
              <w:t xml:space="preserve">VAT (12% per Kazakhstan Tax Code)</w:t>
            </w:r>
          </w:p>
        </w:tc>
        <w:tc>
          <w:tcPr/>
          <w:p>
            <w:pPr>
              <w:pStyle w:val="Compact"/>
              <w:jc w:val="left"/>
            </w:pPr>
            <w:r>
              <w:t xml:space="preserve">1,626,600</w:t>
            </w:r>
          </w:p>
        </w:tc>
      </w:tr>
      <w:tr>
        <w:tc>
          <w:tcPr>
            <w:gridSpan w:val="4"/>
          </w:tcPr>
          <w:p>
            <w:pPr>
              <w:pStyle w:val="Compact"/>
              <w:jc w:val="right"/>
            </w:pPr>
            <w:r>
              <w:t xml:space="preserve">GRAND TOTAL (KZT)</w:t>
            </w:r>
          </w:p>
        </w:tc>
        <w:tc>
          <w:tcPr/>
          <w:p>
            <w:pPr>
              <w:pStyle w:val="Compact"/>
              <w:jc w:val="left"/>
            </w:pPr>
            <w:r>
              <w:t xml:space="preserve">15,181,600</w:t>
            </w:r>
          </w:p>
        </w:tc>
      </w:tr>
    </w:tbl>
    <w:p>
      <w:pPr>
        <w:pStyle w:val="BodyText"/>
      </w:pPr>
      <w:r>
        <w:t xml:space="preserve">Terms and Conditions</w:t>
      </w:r>
    </w:p>
    <w:p>
      <w:pPr>
        <w:pStyle w:val="BodyText"/>
      </w:pPr>
      <w:r>
        <w:rPr>
          <w:bCs/>
          <w:b/>
        </w:rPr>
        <w:t xml:space="preserve">1.</w:t>
      </w:r>
      <w:r>
        <w:t xml:space="preserve"> </w:t>
      </w:r>
      <w:r>
        <w:t xml:space="preserve">This Purchase Order constitutes a binding agreement between the Buyer and the Professor, governed by the Civil Code of the Republic of Kazakhstan and applicable commercial legislation in force in Almaty, Kazakhstan. Any disputes arising from this Purchase Order shall be resolved through the Almaty City Economic Court.</w:t>
      </w:r>
    </w:p>
    <w:p>
      <w:pPr>
        <w:pStyle w:val="BodyText"/>
      </w:pPr>
      <w:r>
        <w:rPr>
          <w:bCs/>
          <w:b/>
        </w:rPr>
        <w:t xml:space="preserve">2.</w:t>
      </w:r>
      <w:r>
        <w:t xml:space="preserve"> </w:t>
      </w:r>
      <w:r>
        <w:t xml:space="preserve">The Professor warrants that all services rendered and materials supplied under this Purchase Order shall be of the highest academic and professional quality, free from intellectual property infringement, and in full compliance with the regulations of the Ministry of Science and Higher Education of the Republic of Kazakhstan.</w:t>
      </w:r>
    </w:p>
    <w:p>
      <w:pPr>
        <w:pStyle w:val="BodyText"/>
      </w:pPr>
      <w:r>
        <w:rPr>
          <w:bCs/>
          <w:b/>
        </w:rPr>
        <w:t xml:space="preserve">3.</w:t>
      </w:r>
      <w:r>
        <w:t xml:space="preserve"> </w:t>
      </w:r>
      <w:r>
        <w:t xml:space="preserve">Payment shall be made via bank transfer to the Professor's designated account at JSC "National Bank of Kazakhstan," Almaty branch, within thirty (30) calendar days of receipt of a valid invoice. Late payments shall accrue interest at the rate of 0.1% per day as stipulated under Kazakhstan commercial law.</w:t>
      </w:r>
    </w:p>
    <w:p>
      <w:pPr>
        <w:pStyle w:val="BodyText"/>
      </w:pPr>
      <w:r>
        <w:rPr>
          <w:bCs/>
          <w:b/>
        </w:rPr>
        <w:t xml:space="preserve">4.</w:t>
      </w:r>
      <w:r>
        <w:t xml:space="preserve"> </w:t>
      </w:r>
      <w:r>
        <w:t xml:space="preserve">The Professor shall maintain full professional liability insurance valid throughout the Republic of Kazakhstan for the duration of the engagement. Proof of insurance shall be provided to the Buyer prior to the commencement of services.</w:t>
      </w:r>
    </w:p>
    <w:p>
      <w:pPr>
        <w:pStyle w:val="BodyText"/>
      </w:pPr>
      <w:r>
        <w:rPr>
          <w:bCs/>
          <w:b/>
        </w:rPr>
        <w:t xml:space="preserve">5.</w:t>
      </w:r>
      <w:r>
        <w:t xml:space="preserve"> </w:t>
      </w:r>
      <w:r>
        <w:t xml:space="preserve">All intellectual property created specifically for the Buyer under this Purchase Order shall be jointly owned, with the Professor retaining the right to publish academic findings in peer-reviewed journals, subject to a thirty-day prior notice to the Buyer.</w:t>
      </w:r>
    </w:p>
    <w:p>
      <w:pPr>
        <w:pStyle w:val="BodyText"/>
      </w:pPr>
      <w:r>
        <w:rPr>
          <w:bCs/>
          <w:b/>
        </w:rPr>
        <w:t xml:space="preserve">6.</w:t>
      </w:r>
      <w:r>
        <w:t xml:space="preserve"> </w:t>
      </w:r>
      <w:r>
        <w:t xml:space="preserve">Either party may terminate this Purchase Order with thirty (30) days written notice. In the event of termination, the Professor shall be compensated for all services rendered and materials delivered up to the date of termination.</w:t>
      </w:r>
    </w:p>
    <w:p>
      <w:pPr>
        <w:pStyle w:val="BodyText"/>
      </w:pPr>
      <w:r>
        <w:rPr>
          <w:bCs/>
          <w:b/>
        </w:rPr>
        <w:t xml:space="preserve">7.</w:t>
      </w:r>
      <w:r>
        <w:t xml:space="preserve"> </w:t>
      </w:r>
      <w:r>
        <w:t xml:space="preserve">This Purchase Order is valid only for the academic year 2025–2026 and all services must be completed within the city of Almaty, Kazakhstan, unless a written amendment is executed by both parties.</w:t>
      </w:r>
    </w:p>
    <w:p>
      <w:pPr>
        <w:pStyle w:val="BodyText"/>
      </w:pPr>
      <w:r>
        <w:rPr>
          <w:bCs/>
          <w:b/>
        </w:rPr>
        <w:t xml:space="preserve">8.</w:t>
      </w:r>
      <w:r>
        <w:t xml:space="preserve"> </w:t>
      </w:r>
      <w:r>
        <w:t xml:space="preserve">The Professor agrees to comply with all data protection regulations of the Republic of Kazakhstan, including the Law on Personal Data and Its Protection, when handling any student or institutional data during the course of the engagement.</w:t>
      </w:r>
    </w:p>
    <w:p>
      <w:pPr>
        <w:pStyle w:val="BodyText"/>
      </w:pPr>
      <w:r>
        <w:t xml:space="preserve">Authorization and Signatures</w:t>
      </w:r>
    </w:p>
    <w:p>
      <w:pPr>
        <w:pStyle w:val="BodyText"/>
      </w:pPr>
      <w:r>
        <w:rPr>
          <w:bCs/>
          <w:b/>
        </w:rPr>
        <w:t xml:space="preserve">For the Buyer:</w:t>
      </w:r>
      <w:r>
        <w:br/>
      </w:r>
      <w:r>
        <w:t xml:space="preserve">Dr. Serik Abildayev</w:t>
      </w:r>
      <w:r>
        <w:br/>
      </w:r>
      <w:r>
        <w:t xml:space="preserve">Rector, Almaty State University</w:t>
      </w:r>
      <w:r>
        <w:br/>
      </w:r>
      <w:r>
        <w:t xml:space="preserve">of Economics and Finance</w:t>
      </w:r>
      <w:r>
        <w:br/>
      </w:r>
      <w:r>
        <w:t xml:space="preserve">Almaty, Kazakhstan</w:t>
      </w:r>
      <w:r>
        <w:br/>
      </w:r>
      <w:r>
        <w:t xml:space="preserve">Date: _______________</w:t>
      </w:r>
    </w:p>
    <w:p>
      <w:pPr>
        <w:pStyle w:val="BodyText"/>
      </w:pPr>
      <w:r>
        <w:rPr>
          <w:bCs/>
          <w:b/>
        </w:rPr>
        <w:t xml:space="preserve">For the Supplier (Professor):</w:t>
      </w:r>
      <w:r>
        <w:br/>
      </w:r>
      <w:r>
        <w:t xml:space="preserve">Professor Dr. Aibek Nurlanov</w:t>
      </w:r>
      <w:r>
        <w:br/>
      </w:r>
      <w:r>
        <w:t xml:space="preserve">Al-Farabi Kazakh National University</w:t>
      </w:r>
      <w:r>
        <w:br/>
      </w:r>
      <w:r>
        <w:t xml:space="preserve">Almaty, Kazakhstan</w:t>
      </w:r>
      <w:r>
        <w:br/>
      </w:r>
      <w:r>
        <w:t xml:space="preserve">Date: _______________</w:t>
      </w:r>
    </w:p>
    <w:p>
      <w:pPr>
        <w:pStyle w:val="BodyText"/>
      </w:pPr>
      <w:r>
        <w:t xml:space="preserve">This Purchase Order (PO No. KZ-ALM-2025-00472) was prepared and issued in Almaty, Republic of Kazakhstan. It is valid for a period of ninety (90) days from the date of issuance. All references to "Kazakhstan Almaty" in this document denote the city of Almaty, the capital of the Republic of Kazakhstan. This document is issued in accordance with the procurement regulations of the Republic of Kazakhstan and the internal procurement policies of the Buyer institution.</w:t>
      </w:r>
    </w:p>
    <w:p>
      <w:pPr>
        <w:pStyle w:val="BodyText"/>
      </w:pPr>
      <w:r>
        <w:t xml:space="preserve">Document Reference: ASUEF/PROC/2025/00472 | Classification: Confidential – Academic Procurement</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Purchase Order - Professor Academic Services - Kazakhstan Almaty</dc:title>
  <dc:creator/>
  <dc:language>en</dc:language>
  <cp:keywords/>
  <dcterms:created xsi:type="dcterms:W3CDTF">2026-10-10T01:20:54Z</dcterms:created>
  <dcterms:modified xsi:type="dcterms:W3CDTF">2026-10-10T01:20:54Z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