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King Fahd University of Science and Technology – Riyadh, Saudi Arabia</w:t>
      </w:r>
    </w:p>
    <w:p>
      <w:pPr>
        <w:pStyle w:val="BodyText"/>
      </w:pPr>
      <w:r>
        <w:t xml:space="preserve">PO No.: KFUST-2025-RYD-04872</w:t>
      </w:r>
    </w:p>
    <w:p>
      <w:pPr>
        <w:pStyle w:val="BodyText"/>
      </w:pPr>
      <w:r>
        <w:t xml:space="preserve">Date of Issue: 15 June 2025  |  Valid Until: 15 July 2025</w:t>
      </w:r>
    </w:p>
    <w:bookmarkEnd w:id="20"/>
    <w:bookmarkStart w:id="23" w:name="purchase-order-parties"/>
    <w:p>
      <w:pPr>
        <w:pStyle w:val="Heading2"/>
      </w:pPr>
      <w:r>
        <w:t xml:space="preserve">1. Purchase Order Parties</w:t>
      </w:r>
    </w:p>
    <w:bookmarkStart w:id="21" w:name="buyer-issuing-authority"/>
    <w:p>
      <w:pPr>
        <w:pStyle w:val="Heading3"/>
      </w:pPr>
      <w:r>
        <w:t xml:space="preserve">Buyer (Issuing Authority)</w:t>
      </w:r>
    </w:p>
    <w:p>
      <w:pPr>
        <w:pStyle w:val="FirstParagraph"/>
      </w:pPr>
      <w:r>
        <w:rPr>
          <w:bCs/>
          <w:b/>
        </w:rPr>
        <w:t xml:space="preserve">Organization:</w:t>
      </w:r>
      <w:r>
        <w:t xml:space="preserve"> </w:t>
      </w:r>
      <w:r>
        <w:t xml:space="preserve">King Fahd University of Science and Technology</w:t>
      </w:r>
    </w:p>
    <w:p>
      <w:pPr>
        <w:pStyle w:val="BodyText"/>
      </w:pPr>
      <w:r>
        <w:rPr>
          <w:bCs/>
          <w:b/>
        </w:rPr>
        <w:t xml:space="preserve">Department:</w:t>
      </w:r>
      <w:r>
        <w:t xml:space="preserve"> </w:t>
      </w:r>
      <w:r>
        <w:t xml:space="preserve">Faculty of Engineering – Office of the Professor</w:t>
      </w:r>
    </w:p>
    <w:p>
      <w:pPr>
        <w:pStyle w:val="BodyText"/>
      </w:pPr>
      <w:r>
        <w:rPr>
          <w:bCs/>
          <w:b/>
        </w:rPr>
        <w:t xml:space="preserve">Address:</w:t>
      </w:r>
      <w:r>
        <w:t xml:space="preserve"> </w:t>
      </w:r>
      <w:r>
        <w:t xml:space="preserve">P.O. Box 500, Al-Haram District, Riyadh 11251, Saudi Arabia</w:t>
      </w:r>
    </w:p>
    <w:p>
      <w:pPr>
        <w:pStyle w:val="BodyText"/>
      </w:pPr>
      <w:r>
        <w:rPr>
          <w:bCs/>
          <w:b/>
        </w:rPr>
        <w:t xml:space="preserve">VAT Registration No.:</w:t>
      </w:r>
      <w:r>
        <w:t xml:space="preserve"> </w:t>
      </w:r>
      <w:r>
        <w:t xml:space="preserve">310123456700003</w:t>
      </w:r>
    </w:p>
    <w:p>
      <w:pPr>
        <w:pStyle w:val="BodyText"/>
      </w:pPr>
      <w:r>
        <w:rPr>
          <w:bCs/>
          <w:b/>
        </w:rPr>
        <w:t xml:space="preserve">Contact:</w:t>
      </w:r>
      <w:r>
        <w:t xml:space="preserve"> </w:t>
      </w:r>
      <w:r>
        <w:t xml:space="preserve">Procurement Division, Riyadh Campus</w:t>
      </w:r>
    </w:p>
    <w:p>
      <w:pPr>
        <w:pStyle w:val="BodyText"/>
      </w:pPr>
      <w:r>
        <w:rPr>
          <w:bCs/>
          <w:b/>
        </w:rPr>
        <w:t xml:space="preserve">Email:</w:t>
      </w:r>
      <w:r>
        <w:t xml:space="preserve"> </w:t>
      </w:r>
      <w:r>
        <w:t xml:space="preserve">procurement@kfust.edu.sa</w:t>
      </w:r>
    </w:p>
    <w:bookmarkEnd w:id="21"/>
    <w:bookmarkStart w:id="22" w:name="beneficiary-end-user"/>
    <w:p>
      <w:pPr>
        <w:pStyle w:val="Heading3"/>
      </w:pPr>
      <w:r>
        <w:t xml:space="preserve">Beneficiary / End User</w:t>
      </w:r>
    </w:p>
    <w:p>
      <w:pPr>
        <w:pStyle w:val="FirstParagraph"/>
      </w:pPr>
      <w:r>
        <w:rPr>
          <w:bCs/>
          <w:b/>
        </w:rPr>
        <w:t xml:space="preserve">Name:</w:t>
      </w:r>
      <w:r>
        <w:t xml:space="preserve"> </w:t>
      </w:r>
      <w:r>
        <w:t xml:space="preserve">Professor Dr. Ahmed Al-Rashidi</w:t>
      </w:r>
    </w:p>
    <w:p>
      <w:pPr>
        <w:pStyle w:val="BodyText"/>
      </w:pPr>
      <w:r>
        <w:rPr>
          <w:bCs/>
          <w:b/>
        </w:rPr>
        <w:t xml:space="preserve">Title:</w:t>
      </w:r>
      <w:r>
        <w:t xml:space="preserve"> </w:t>
      </w:r>
      <w:r>
        <w:t xml:space="preserve">Professor of Mechanical Engineering</w:t>
      </w:r>
    </w:p>
    <w:p>
      <w:pPr>
        <w:pStyle w:val="BodyText"/>
      </w:pPr>
      <w:r>
        <w:rPr>
          <w:bCs/>
          <w:b/>
        </w:rPr>
        <w:t xml:space="preserve">Office:</w:t>
      </w:r>
      <w:r>
        <w:t xml:space="preserve"> </w:t>
      </w:r>
      <w:r>
        <w:t xml:space="preserve">Building 12, Room 304, Riyadh Campus</w:t>
      </w:r>
    </w:p>
    <w:p>
      <w:pPr>
        <w:pStyle w:val="BodyText"/>
      </w:pPr>
      <w:r>
        <w:rPr>
          <w:bCs/>
          <w:b/>
        </w:rPr>
        <w:t xml:space="preserve">Department:</w:t>
      </w:r>
      <w:r>
        <w:t xml:space="preserve"> </w:t>
      </w:r>
      <w:r>
        <w:t xml:space="preserve">Mechanical and Industrial Engineering</w:t>
      </w:r>
    </w:p>
    <w:p>
      <w:pPr>
        <w:pStyle w:val="BodyText"/>
      </w:pPr>
      <w:r>
        <w:rPr>
          <w:bCs/>
          <w:b/>
        </w:rPr>
        <w:t xml:space="preserve">Faculty:</w:t>
      </w:r>
      <w:r>
        <w:t xml:space="preserve"> </w:t>
      </w:r>
      <w:r>
        <w:t xml:space="preserve">College of Engineering, Saudi Arabia</w:t>
      </w:r>
    </w:p>
    <w:p>
      <w:pPr>
        <w:pStyle w:val="BodyText"/>
      </w:pPr>
      <w:r>
        <w:rPr>
          <w:bCs/>
          <w:b/>
        </w:rPr>
        <w:t xml:space="preserve">Phone:</w:t>
      </w:r>
      <w:r>
        <w:t xml:space="preserve"> </w:t>
      </w:r>
      <w:r>
        <w:t xml:space="preserve">+966-11-460-XXXX</w:t>
      </w:r>
    </w:p>
    <w:bookmarkEnd w:id="22"/>
    <w:bookmarkEnd w:id="23"/>
    <w:bookmarkStart w:id="24" w:name="supplier-vendor-details"/>
    <w:p>
      <w:pPr>
        <w:pStyle w:val="Heading2"/>
      </w:pPr>
      <w:r>
        <w:t xml:space="preserve">2. Supplier / Vendor Details</w:t>
      </w:r>
    </w:p>
    <w:p>
      <w:pPr>
        <w:pStyle w:val="FirstParagraph"/>
      </w:pPr>
      <w:r>
        <w:rPr>
          <w:bCs/>
          <w:b/>
        </w:rPr>
        <w:t xml:space="preserve">Company Name:</w:t>
      </w:r>
      <w:r>
        <w:t xml:space="preserve"> </w:t>
      </w:r>
      <w:r>
        <w:t xml:space="preserve">Al-Nakheel Scientific Equipment &amp; Supplies Co., Ltd.</w:t>
      </w:r>
    </w:p>
    <w:p>
      <w:pPr>
        <w:pStyle w:val="BodyText"/>
      </w:pPr>
      <w:r>
        <w:rPr>
          <w:bCs/>
          <w:b/>
        </w:rPr>
        <w:t xml:space="preserve">Address:</w:t>
      </w:r>
      <w:r>
        <w:t xml:space="preserve"> </w:t>
      </w:r>
      <w:r>
        <w:t xml:space="preserve">Industrial City, Al-Khobar Road, Riyadh 14335, Saudi Arabia</w:t>
      </w:r>
    </w:p>
    <w:p>
      <w:pPr>
        <w:pStyle w:val="BodyText"/>
      </w:pPr>
      <w:r>
        <w:rPr>
          <w:bCs/>
          <w:b/>
        </w:rPr>
        <w:t xml:space="preserve">Commercial Registration No.:</w:t>
      </w:r>
      <w:r>
        <w:t xml:space="preserve"> </w:t>
      </w:r>
      <w:r>
        <w:t xml:space="preserve">1010XXXXXX</w:t>
      </w:r>
    </w:p>
    <w:p>
      <w:pPr>
        <w:pStyle w:val="BodyText"/>
      </w:pPr>
      <w:r>
        <w:rPr>
          <w:bCs/>
          <w:b/>
        </w:rPr>
        <w:t xml:space="preserve">VAT Registration No.:</w:t>
      </w:r>
      <w:r>
        <w:t xml:space="preserve"> </w:t>
      </w:r>
      <w:r>
        <w:t xml:space="preserve">310987654300003</w:t>
      </w:r>
    </w:p>
    <w:p>
      <w:pPr>
        <w:pStyle w:val="BodyText"/>
      </w:pPr>
      <w:r>
        <w:rPr>
          <w:bCs/>
          <w:b/>
        </w:rPr>
        <w:t xml:space="preserve">Authorized Representative:</w:t>
      </w:r>
      <w:r>
        <w:t xml:space="preserve"> </w:t>
      </w:r>
      <w:r>
        <w:t xml:space="preserve">Mr. Khalid Al-Otaibi</w:t>
      </w:r>
    </w:p>
    <w:p>
      <w:pPr>
        <w:pStyle w:val="BodyText"/>
      </w:pPr>
      <w:r>
        <w:rPr>
          <w:bCs/>
          <w:b/>
        </w:rPr>
        <w:t xml:space="preserve">Contact:</w:t>
      </w:r>
      <w:r>
        <w:t xml:space="preserve"> </w:t>
      </w:r>
      <w:r>
        <w:t xml:space="preserve">+966-11-XXXX-XXXX | sales@alnakheel-sci.sa</w:t>
      </w:r>
    </w:p>
    <w:bookmarkEnd w:id="24"/>
    <w:bookmarkStart w:id="25" w:name="Xd2247db34f85fceae8f4c4c8fad08a020e99027"/>
    <w:p>
      <w:pPr>
        <w:pStyle w:val="Heading2"/>
      </w:pPr>
      <w:r>
        <w:t xml:space="preserve">3. Purchase Order Itemization – Professor's Laboratory &amp; Office Requirements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Advanced CNC Milling Machine (3-Axis) for Professor's Research Lab</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Laser Interferometer Displacement Measurement System</w:t>
            </w:r>
          </w:p>
        </w:tc>
        <w:tc>
          <w:tcPr/>
          <w:p>
            <w:pPr>
              <w:pStyle w:val="Compact"/>
              <w:jc w:val="left"/>
            </w:pPr>
            <w:r>
              <w:t xml:space="preserve">2</w:t>
            </w:r>
          </w:p>
        </w:tc>
        <w:tc>
          <w:tcPr/>
          <w:p>
            <w:pPr>
              <w:pStyle w:val="Compact"/>
              <w:jc w:val="left"/>
            </w:pPr>
            <w:r>
              <w:t xml:space="preserve">Set</w:t>
            </w:r>
          </w:p>
        </w:tc>
        <w:tc>
          <w:tcPr/>
          <w:p>
            <w:pPr>
              <w:pStyle w:val="Compact"/>
              <w:jc w:val="left"/>
            </w:pPr>
            <w:r>
              <w:t xml:space="preserve">127,500.00</w:t>
            </w:r>
          </w:p>
        </w:tc>
        <w:tc>
          <w:tcPr/>
          <w:p>
            <w:pPr>
              <w:pStyle w:val="Compact"/>
              <w:jc w:val="left"/>
            </w:pPr>
            <w:r>
              <w:t xml:space="preserve">255,000.00</w:t>
            </w:r>
          </w:p>
        </w:tc>
      </w:tr>
      <w:tr>
        <w:tc>
          <w:tcPr/>
          <w:p>
            <w:pPr>
              <w:pStyle w:val="Compact"/>
              <w:jc w:val="left"/>
            </w:pPr>
            <w:r>
              <w:t xml:space="preserve">03</w:t>
            </w:r>
          </w:p>
        </w:tc>
        <w:tc>
          <w:tcPr/>
          <w:p>
            <w:pPr>
              <w:pStyle w:val="Compact"/>
              <w:jc w:val="left"/>
            </w:pPr>
            <w:r>
              <w:t xml:space="preserve">Industrial-Grade Thermal Imaging Camera (FLIR T1040)</w:t>
            </w:r>
          </w:p>
        </w:tc>
        <w:tc>
          <w:tcPr/>
          <w:p>
            <w:pPr>
              <w:pStyle w:val="Compact"/>
              <w:jc w:val="left"/>
            </w:pPr>
            <w:r>
              <w:t xml:space="preserve">3</w:t>
            </w:r>
          </w:p>
        </w:tc>
        <w:tc>
          <w:tcPr/>
          <w:p>
            <w:pPr>
              <w:pStyle w:val="Compact"/>
              <w:jc w:val="left"/>
            </w:pPr>
            <w:r>
              <w:t xml:space="preserve">Unit</w:t>
            </w:r>
          </w:p>
        </w:tc>
        <w:tc>
          <w:tcPr/>
          <w:p>
            <w:pPr>
              <w:pStyle w:val="Compact"/>
              <w:jc w:val="left"/>
            </w:pPr>
            <w:r>
              <w:t xml:space="preserve">38,200.00</w:t>
            </w:r>
          </w:p>
        </w:tc>
        <w:tc>
          <w:tcPr/>
          <w:p>
            <w:pPr>
              <w:pStyle w:val="Compact"/>
              <w:jc w:val="left"/>
            </w:pPr>
            <w:r>
              <w:t xml:space="preserve">114,600.00</w:t>
            </w:r>
          </w:p>
        </w:tc>
      </w:tr>
      <w:tr>
        <w:tc>
          <w:tcPr/>
          <w:p>
            <w:pPr>
              <w:pStyle w:val="Compact"/>
              <w:jc w:val="left"/>
            </w:pPr>
            <w:r>
              <w:t xml:space="preserve">04</w:t>
            </w:r>
          </w:p>
        </w:tc>
        <w:tc>
          <w:tcPr/>
          <w:p>
            <w:pPr>
              <w:pStyle w:val="Compact"/>
              <w:jc w:val="left"/>
            </w:pPr>
            <w:r>
              <w:t xml:space="preserve">Ergonomic Professor's Executive Office Desk &amp; Chair Set (Riyadh Standard)</w:t>
            </w:r>
          </w:p>
        </w:tc>
        <w:tc>
          <w:tcPr/>
          <w:p>
            <w:pPr>
              <w:pStyle w:val="Compact"/>
              <w:jc w:val="left"/>
            </w:pPr>
            <w:r>
              <w:t xml:space="preserve">1</w:t>
            </w:r>
          </w:p>
        </w:tc>
        <w:tc>
          <w:tcPr/>
          <w:p>
            <w:pPr>
              <w:pStyle w:val="Compact"/>
              <w:jc w:val="left"/>
            </w:pPr>
            <w:r>
              <w:t xml:space="preserve">Set</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High-Performance Workstation PC (Intel Xeon, 128GB RAM, 4TB SSD)</w:t>
            </w:r>
          </w:p>
        </w:tc>
        <w:tc>
          <w:tcPr/>
          <w:p>
            <w:pPr>
              <w:pStyle w:val="Compact"/>
              <w:jc w:val="left"/>
            </w:pPr>
            <w:r>
              <w:t xml:space="preserve">4</w:t>
            </w:r>
          </w:p>
        </w:tc>
        <w:tc>
          <w:tcPr/>
          <w:p>
            <w:pPr>
              <w:pStyle w:val="Compact"/>
              <w:jc w:val="left"/>
            </w:pPr>
            <w:r>
              <w:t xml:space="preserve">Unit</w:t>
            </w:r>
          </w:p>
        </w:tc>
        <w:tc>
          <w:tcPr/>
          <w:p>
            <w:pPr>
              <w:pStyle w:val="Compact"/>
              <w:jc w:val="left"/>
            </w:pPr>
            <w:r>
              <w:t xml:space="preserve">22,500.00</w:t>
            </w:r>
          </w:p>
        </w:tc>
        <w:tc>
          <w:tcPr/>
          <w:p>
            <w:pPr>
              <w:pStyle w:val="Compact"/>
              <w:jc w:val="left"/>
            </w:pPr>
            <w:r>
              <w:t xml:space="preserve">90,000.00</w:t>
            </w:r>
          </w:p>
        </w:tc>
      </w:tr>
      <w:tr>
        <w:tc>
          <w:tcPr/>
          <w:p>
            <w:pPr>
              <w:pStyle w:val="Compact"/>
              <w:jc w:val="left"/>
            </w:pPr>
            <w:r>
              <w:t xml:space="preserve">06</w:t>
            </w:r>
          </w:p>
        </w:tc>
        <w:tc>
          <w:tcPr/>
          <w:p>
            <w:pPr>
              <w:pStyle w:val="Compact"/>
              <w:jc w:val="left"/>
            </w:pPr>
            <w:r>
              <w:t xml:space="preserve">Academic Reference Books &amp; Journals (Annual Subscription Bundle for Professor)</w:t>
            </w:r>
          </w:p>
        </w:tc>
        <w:tc>
          <w:tcPr/>
          <w:p>
            <w:pPr>
              <w:pStyle w:val="Compact"/>
              <w:jc w:val="left"/>
            </w:pPr>
            <w:r>
              <w:t xml:space="preserve">1</w:t>
            </w:r>
          </w:p>
        </w:tc>
        <w:tc>
          <w:tcPr/>
          <w:p>
            <w:pPr>
              <w:pStyle w:val="Compact"/>
              <w:jc w:val="left"/>
            </w:pPr>
            <w:r>
              <w:t xml:space="preserve">Lot</w:t>
            </w:r>
          </w:p>
        </w:tc>
        <w:tc>
          <w:tcPr/>
          <w:p>
            <w:pPr>
              <w:pStyle w:val="Compact"/>
              <w:jc w:val="left"/>
            </w:pPr>
            <w:r>
              <w:t xml:space="preserve">18,400.00</w:t>
            </w:r>
          </w:p>
        </w:tc>
        <w:tc>
          <w:tcPr/>
          <w:p>
            <w:pPr>
              <w:pStyle w:val="Compact"/>
              <w:jc w:val="left"/>
            </w:pPr>
            <w:r>
              <w:t xml:space="preserve">18,400.00</w:t>
            </w:r>
          </w:p>
        </w:tc>
      </w:tr>
      <w:tr>
        <w:tc>
          <w:tcPr/>
          <w:p>
            <w:pPr>
              <w:pStyle w:val="Compact"/>
              <w:jc w:val="left"/>
            </w:pPr>
            <w:r>
              <w:t xml:space="preserve">07</w:t>
            </w:r>
          </w:p>
        </w:tc>
        <w:tc>
          <w:tcPr/>
          <w:p>
            <w:pPr>
              <w:pStyle w:val="Compact"/>
              <w:jc w:val="left"/>
            </w:pPr>
            <w:r>
              <w:t xml:space="preserve">Professional Presentation &amp; Conference AV Equipment Package</w:t>
            </w:r>
          </w:p>
        </w:tc>
        <w:tc>
          <w:tcPr/>
          <w:p>
            <w:pPr>
              <w:pStyle w:val="Compact"/>
              <w:jc w:val="left"/>
            </w:pPr>
            <w:r>
              <w:t xml:space="preserve">1</w:t>
            </w:r>
          </w:p>
        </w:tc>
        <w:tc>
          <w:tcPr/>
          <w:p>
            <w:pPr>
              <w:pStyle w:val="Compact"/>
              <w:jc w:val="left"/>
            </w:pPr>
            <w:r>
              <w:t xml:space="preserve">Set</w:t>
            </w:r>
          </w:p>
        </w:tc>
        <w:tc>
          <w:tcPr/>
          <w:p>
            <w:pPr>
              <w:pStyle w:val="Compact"/>
              <w:jc w:val="left"/>
            </w:pPr>
            <w:r>
              <w:t xml:space="preserve">34,700.00</w:t>
            </w:r>
          </w:p>
        </w:tc>
        <w:tc>
          <w:tcPr/>
          <w:p>
            <w:pPr>
              <w:pStyle w:val="Compact"/>
              <w:jc w:val="left"/>
            </w:pPr>
            <w:r>
              <w:t xml:space="preserve">34,700.00</w:t>
            </w:r>
          </w:p>
        </w:tc>
      </w:tr>
      <w:tr>
        <w:tc>
          <w:tcPr/>
          <w:p>
            <w:pPr>
              <w:pStyle w:val="Compact"/>
              <w:jc w:val="left"/>
            </w:pPr>
            <w:r>
              <w:t xml:space="preserve">08</w:t>
            </w:r>
          </w:p>
        </w:tc>
        <w:tc>
          <w:tcPr/>
          <w:p>
            <w:pPr>
              <w:pStyle w:val="Compact"/>
              <w:jc w:val="left"/>
            </w:pPr>
            <w:r>
              <w:t xml:space="preserve">Calibration &amp; Annual Maintenance Service Contract (Year 1)</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56,000.00</w:t>
            </w:r>
          </w:p>
        </w:tc>
        <w:tc>
          <w:tcPr/>
          <w:p>
            <w:pPr>
              <w:pStyle w:val="Compact"/>
              <w:jc w:val="left"/>
            </w:pPr>
            <w:r>
              <w:t xml:space="preserve">56,000.00</w:t>
            </w:r>
          </w:p>
        </w:tc>
      </w:tr>
      <w:tr>
        <w:tc>
          <w:tcPr/>
          <w:p>
            <w:pPr>
              <w:pStyle w:val="Compact"/>
              <w:jc w:val="left"/>
            </w:pPr>
            <w:r>
              <w:t xml:space="preserve">09</w:t>
            </w:r>
          </w:p>
        </w:tc>
        <w:tc>
          <w:tcPr/>
          <w:p>
            <w:pPr>
              <w:pStyle w:val="Compact"/>
              <w:jc w:val="left"/>
            </w:pPr>
            <w:r>
              <w:t xml:space="preserve">Specialized PPE &amp; Safety Equipment for Professor's Lab Team</w:t>
            </w:r>
          </w:p>
        </w:tc>
        <w:tc>
          <w:tcPr/>
          <w:p>
            <w:pPr>
              <w:pStyle w:val="Compact"/>
              <w:jc w:val="left"/>
            </w:pPr>
            <w:r>
              <w:t xml:space="preserve">1</w:t>
            </w:r>
          </w:p>
        </w:tc>
        <w:tc>
          <w:tcPr/>
          <w:p>
            <w:pPr>
              <w:pStyle w:val="Compact"/>
              <w:jc w:val="left"/>
            </w:pPr>
            <w:r>
              <w:t xml:space="preserve">Lot</w:t>
            </w:r>
          </w:p>
        </w:tc>
        <w:tc>
          <w:tcPr/>
          <w:p>
            <w:pPr>
              <w:pStyle w:val="Compact"/>
              <w:jc w:val="left"/>
            </w:pPr>
            <w:r>
              <w:t xml:space="preserve">9,300.00</w:t>
            </w:r>
          </w:p>
        </w:tc>
        <w:tc>
          <w:tcPr/>
          <w:p>
            <w:pPr>
              <w:pStyle w:val="Compact"/>
              <w:jc w:val="left"/>
            </w:pPr>
            <w:r>
              <w:t xml:space="preserve">9,300.00</w:t>
            </w:r>
          </w:p>
        </w:tc>
      </w:tr>
      <w:tr>
        <w:tc>
          <w:tcPr/>
          <w:p>
            <w:pPr>
              <w:pStyle w:val="Compact"/>
              <w:jc w:val="left"/>
            </w:pPr>
            <w:r>
              <w:t xml:space="preserve">10</w:t>
            </w:r>
          </w:p>
        </w:tc>
        <w:tc>
          <w:tcPr/>
          <w:p>
            <w:pPr>
              <w:pStyle w:val="Compact"/>
              <w:jc w:val="left"/>
            </w:pPr>
            <w:r>
              <w:t xml:space="preserve">Installation, Commissioning &amp; On-Site Training (Riyadh Campus)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42,500.00</w:t>
            </w:r>
          </w:p>
        </w:tc>
        <w:tc>
          <w:tcPr/>
          <w:p>
            <w:pPr>
              <w:pStyle w:val="Compact"/>
              <w:jc w:val="left"/>
            </w:pPr>
            <w:r>
              <w:t xml:space="preserve">42,500.00</w:t>
            </w:r>
          </w:p>
        </w:tc>
      </w:tr>
      <w:tr>
        <w:tc>
          <w:tcPr>
            <w:gridSpan w:val="5"/>
          </w:tcPr>
          <w:p>
            <w:pPr>
              <w:pStyle w:val="Compact"/>
              <w:jc w:val="right"/>
            </w:pPr>
            <w:r>
              <w:t xml:space="preserve">Subtotal (SAR):</w:t>
            </w:r>
          </w:p>
        </w:tc>
        <w:tc>
          <w:tcPr/>
          <w:p>
            <w:pPr>
              <w:pStyle w:val="Compact"/>
              <w:jc w:val="left"/>
            </w:pPr>
            <w:r>
              <w:t xml:space="preserve">1,118,800.00</w:t>
            </w:r>
          </w:p>
        </w:tc>
      </w:tr>
      <w:tr>
        <w:tc>
          <w:tcPr>
            <w:gridSpan w:val="5"/>
          </w:tcPr>
          <w:p>
            <w:pPr>
              <w:pStyle w:val="Compact"/>
              <w:jc w:val="right"/>
            </w:pPr>
            <w:r>
              <w:t xml:space="preserve">VAT @ 15% (Saudi Arabia):</w:t>
            </w:r>
          </w:p>
        </w:tc>
        <w:tc>
          <w:tcPr/>
          <w:p>
            <w:pPr>
              <w:pStyle w:val="Compact"/>
              <w:jc w:val="left"/>
            </w:pPr>
            <w:r>
              <w:t xml:space="preserve">167,820.00</w:t>
            </w:r>
          </w:p>
        </w:tc>
      </w:tr>
      <w:tr>
        <w:tc>
          <w:tcPr>
            <w:gridSpan w:val="5"/>
          </w:tcPr>
          <w:p>
            <w:pPr>
              <w:pStyle w:val="Compact"/>
              <w:jc w:val="right"/>
            </w:pPr>
            <w:r>
              <w:t xml:space="preserve">GRAND TOTAL (SAR):</w:t>
            </w:r>
          </w:p>
        </w:tc>
        <w:tc>
          <w:tcPr/>
          <w:p>
            <w:pPr>
              <w:pStyle w:val="Compact"/>
              <w:jc w:val="left"/>
            </w:pPr>
            <w:r>
              <w:t xml:space="preserve">1,286,620.00</w:t>
            </w:r>
          </w:p>
        </w:tc>
      </w:tr>
    </w:tbl>
    <w:p>
      <w:pPr>
        <w:pStyle w:val="BodyText"/>
      </w:pPr>
      <w:r>
        <w:t xml:space="preserve">All prices are quoted in Saudi Riyals (SAR). VAT of 15% is applied in accordance with the Zakat, Tax and Customs Authority (ZATCA) regulations of Saudi Arabia.</w:t>
      </w:r>
    </w:p>
    <w:bookmarkEnd w:id="25"/>
    <w:bookmarkStart w:id="26" w:name="delivery-installation-terms"/>
    <w:p>
      <w:pPr>
        <w:pStyle w:val="Heading2"/>
      </w:pPr>
      <w:r>
        <w:t xml:space="preserve">4. Delivery &amp; Installation Terms</w:t>
      </w:r>
    </w:p>
    <w:p>
      <w:pPr>
        <w:pStyle w:val="FirstParagraph"/>
      </w:pPr>
      <w:r>
        <w:t xml:space="preserve">The supplier shall deliver all items listed in this Purchase Order to the Professor's designated laboratory and office at King Fahd University of Science and Technology, Riyadh, Saudi Arabia, within</w:t>
      </w:r>
      <w:r>
        <w:t xml:space="preserve"> </w:t>
      </w:r>
      <w:r>
        <w:rPr>
          <w:bCs/>
          <w:b/>
        </w:rPr>
        <w:t xml:space="preserve">forty-five (45) calendar days</w:t>
      </w:r>
      <w:r>
        <w:t xml:space="preserve"> </w:t>
      </w:r>
      <w:r>
        <w:t xml:space="preserve">from the date of Purchase Order acknowledgment. Installation and commissioning of all equipment shall be completed within ten (10) business days following physical delivery. The supplier is responsible for all transportation, insurance, and customs clearance within the Kingdom of Saudi Arabia. Delivery shall be made to the loading dock of Building 12, Riyadh Campus, between 08:00 and 16:00 KSA time, Monday through Friday.</w:t>
      </w:r>
    </w:p>
    <w:bookmarkEnd w:id="26"/>
    <w:bookmarkStart w:id="27" w:name="payment-terms"/>
    <w:p>
      <w:pPr>
        <w:pStyle w:val="Heading2"/>
      </w:pPr>
      <w:r>
        <w:t xml:space="preserve">5. Payment Terms</w:t>
      </w:r>
    </w:p>
    <w:p>
      <w:pPr>
        <w:pStyle w:val="FirstParagraph"/>
      </w:pPr>
      <w:r>
        <w:t xml:space="preserve">Payment shall be made via bank transfer to the supplier's designated account in Saudi Arabia. The payment schedule is as follows:</w:t>
      </w:r>
      <w:r>
        <w:t xml:space="preserve"> </w:t>
      </w:r>
      <w:r>
        <w:rPr>
          <w:bCs/>
          <w:b/>
        </w:rPr>
        <w:t xml:space="preserve">30% advance payment</w:t>
      </w:r>
      <w:r>
        <w:t xml:space="preserve"> </w:t>
      </w:r>
      <w:r>
        <w:t xml:space="preserve">upon signing of this Purchase Order;</w:t>
      </w:r>
      <w:r>
        <w:t xml:space="preserve"> </w:t>
      </w:r>
      <w:r>
        <w:rPr>
          <w:bCs/>
          <w:b/>
        </w:rPr>
        <w:t xml:space="preserve">50% upon delivery and acceptance</w:t>
      </w:r>
      <w:r>
        <w:t xml:space="preserve"> </w:t>
      </w:r>
      <w:r>
        <w:t xml:space="preserve">of all goods at the Riyadh campus; and</w:t>
      </w:r>
      <w:r>
        <w:t xml:space="preserve"> </w:t>
      </w:r>
      <w:r>
        <w:rPr>
          <w:bCs/>
          <w:b/>
        </w:rPr>
        <w:t xml:space="preserve">20% upon successful completion</w:t>
      </w:r>
      <w:r>
        <w:t xml:space="preserve"> </w:t>
      </w:r>
      <w:r>
        <w:t xml:space="preserve">of installation, commissioning, and the Professor's final sign-off. All invoices must reference this Purchase Order number (KFUST-2025-RYD-04872) and include the supplier's VAT registration number. Payment shall be processed within thirty (30) days of receipt of a valid invoice.</w:t>
      </w:r>
    </w:p>
    <w:bookmarkEnd w:id="27"/>
    <w:bookmarkStart w:id="28" w:name="terms-conditions"/>
    <w:p>
      <w:pPr>
        <w:pStyle w:val="Heading2"/>
      </w:pPr>
      <w:r>
        <w:t xml:space="preserve">6. Terms &amp; Conditions</w:t>
      </w:r>
    </w:p>
    <w:p>
      <w:pPr>
        <w:pStyle w:val="FirstParagraph"/>
      </w:pPr>
      <w:r>
        <w:rPr>
          <w:bCs/>
          <w:b/>
        </w:rPr>
        <w:t xml:space="preserve">6.1</w:t>
      </w:r>
      <w:r>
        <w:t xml:space="preserve"> </w:t>
      </w:r>
      <w:r>
        <w:t xml:space="preserve">This Purchase Order is governed by the laws of the Kingdom of Saudi Arabia and the regulations of the Saudi Arabian General Authority for Competition (SAGAC).</w:t>
      </w:r>
    </w:p>
    <w:p>
      <w:pPr>
        <w:pStyle w:val="BodyText"/>
      </w:pPr>
      <w:r>
        <w:rPr>
          <w:bCs/>
          <w:b/>
        </w:rPr>
        <w:t xml:space="preserve">6.2</w:t>
      </w:r>
      <w:r>
        <w:t xml:space="preserve"> </w:t>
      </w:r>
      <w:r>
        <w:t xml:space="preserve">All equipment must comply with Saudi Standards, Metrology and Quality Organization (SASO) standards and carry valid conformity certificates.</w:t>
      </w:r>
    </w:p>
    <w:p>
      <w:pPr>
        <w:pStyle w:val="BodyText"/>
      </w:pPr>
      <w:r>
        <w:rPr>
          <w:bCs/>
          <w:b/>
        </w:rPr>
        <w:t xml:space="preserve">6.3</w:t>
      </w:r>
      <w:r>
        <w:t xml:space="preserve"> </w:t>
      </w:r>
      <w:r>
        <w:t xml:space="preserve">The Professor or his authorized representative shall conduct a quality inspection upon delivery. Any non-conforming items must be replaced within fifteen (15) days at the supplier's sole expense.</w:t>
      </w:r>
    </w:p>
    <w:p>
      <w:pPr>
        <w:pStyle w:val="BodyText"/>
      </w:pPr>
      <w:r>
        <w:rPr>
          <w:bCs/>
          <w:b/>
        </w:rPr>
        <w:t xml:space="preserve">6.4</w:t>
      </w:r>
      <w:r>
        <w:t xml:space="preserve"> </w:t>
      </w:r>
      <w:r>
        <w:t xml:space="preserve">The supplier warrants all equipment for a minimum of twenty-four (24) months from the date of installation in Riyadh.</w:t>
      </w:r>
    </w:p>
    <w:p>
      <w:pPr>
        <w:pStyle w:val="BodyText"/>
      </w:pPr>
      <w:r>
        <w:rPr>
          <w:bCs/>
          <w:b/>
        </w:rPr>
        <w:t xml:space="preserve">6.5</w:t>
      </w:r>
      <w:r>
        <w:t xml:space="preserve"> </w:t>
      </w:r>
      <w:r>
        <w:t xml:space="preserve">This Purchase Order may be amended only by mutual written agreement between the Buyer and the Supplier, countersigned by the Professor's department head.</w:t>
      </w:r>
    </w:p>
    <w:p>
      <w:pPr>
        <w:pStyle w:val="BodyText"/>
      </w:pPr>
      <w:r>
        <w:rPr>
          <w:bCs/>
          <w:b/>
        </w:rPr>
        <w:t xml:space="preserve">6.6</w:t>
      </w:r>
      <w:r>
        <w:t xml:space="preserve"> </w:t>
      </w:r>
      <w:r>
        <w:t xml:space="preserve">The supplier shall maintain full confidentiality regarding the Professor's research data and any proprietary information encountered during installation or service in Saudi Arabia.</w:t>
      </w:r>
    </w:p>
    <w:p>
      <w:pPr>
        <w:pStyle w:val="BodyText"/>
      </w:pPr>
      <w:r>
        <w:rPr>
          <w:bCs/>
          <w:b/>
        </w:rPr>
        <w:t xml:space="preserve">6.7</w:t>
      </w:r>
      <w:r>
        <w:t xml:space="preserve"> </w:t>
      </w:r>
      <w:r>
        <w:t xml:space="preserve">In the event of a dispute, both parties agree to resolve matters through arbitration in Riyadh, Saudi Arabia, in accordance with the Saudi Arbitration Center rules.</w:t>
      </w:r>
    </w:p>
    <w:bookmarkEnd w:id="28"/>
    <w:bookmarkStart w:id="29" w:name="authorization-signatures"/>
    <w:p>
      <w:pPr>
        <w:pStyle w:val="Heading2"/>
      </w:pPr>
      <w:r>
        <w:t xml:space="preserve">7. Authorization &amp; Signatures</w:t>
      </w:r>
    </w:p>
    <w:p>
      <w:pPr>
        <w:pStyle w:val="FirstParagraph"/>
      </w:pPr>
      <w:r>
        <w:rPr>
          <w:bCs/>
          <w:b/>
        </w:rPr>
        <w:t xml:space="preserve">Prepared By (Procurement Officer):</w:t>
      </w:r>
    </w:p>
    <w:p>
      <w:pPr>
        <w:pStyle w:val="BodyText"/>
      </w:pPr>
      <w:r>
        <w:t xml:space="preserve">Name: Ms. Noura Al-Saud</w:t>
      </w:r>
      <w:r>
        <w:br/>
      </w:r>
      <w:r>
        <w:t xml:space="preserve">Signature &amp; Date</w:t>
      </w:r>
    </w:p>
    <w:p>
      <w:pPr>
        <w:pStyle w:val="BodyText"/>
      </w:pPr>
      <w:r>
        <w:rPr>
          <w:bCs/>
          <w:b/>
        </w:rPr>
        <w:t xml:space="preserve">Approved By (Professor / End User):</w:t>
      </w:r>
    </w:p>
    <w:p>
      <w:pPr>
        <w:pStyle w:val="BodyText"/>
      </w:pPr>
      <w:r>
        <w:t xml:space="preserve">Prof. Dr. Ahmed Al-Rashidi</w:t>
      </w:r>
      <w:r>
        <w:br/>
      </w:r>
      <w:r>
        <w:t xml:space="preserve">Signature &amp; Date</w:t>
      </w:r>
    </w:p>
    <w:p>
      <w:pPr>
        <w:pStyle w:val="BodyText"/>
      </w:pPr>
      <w:r>
        <w:rPr>
          <w:bCs/>
          <w:b/>
        </w:rPr>
        <w:t xml:space="preserve">Authorized Signatory (Buyer):</w:t>
      </w:r>
    </w:p>
    <w:p>
      <w:pPr>
        <w:pStyle w:val="BodyText"/>
      </w:pPr>
      <w:r>
        <w:t xml:space="preserve">Dr. Faisal Al-Harbi, Dean of Engineering</w:t>
      </w:r>
      <w:r>
        <w:br/>
      </w:r>
      <w:r>
        <w:t xml:space="preserve">Signature &amp; Date</w:t>
      </w:r>
    </w:p>
    <w:p>
      <w:pPr>
        <w:pStyle w:val="BodyText"/>
      </w:pPr>
      <w:r>
        <w:rPr>
          <w:bCs/>
          <w:b/>
        </w:rPr>
        <w:t xml:space="preserve">Accepted By (Supplier):</w:t>
      </w:r>
    </w:p>
    <w:p>
      <w:pPr>
        <w:pStyle w:val="BodyText"/>
      </w:pPr>
      <w:r>
        <w:t xml:space="preserve">Mr. Khalid Al-Otaibi, Al-Nakheel Co.</w:t>
      </w:r>
      <w:r>
        <w:br/>
      </w:r>
      <w:r>
        <w:t xml:space="preserve">Signature &amp; Date</w:t>
      </w:r>
    </w:p>
    <w:bookmarkEnd w:id="29"/>
    <w:p>
      <w:pPr>
        <w:pStyle w:val="BodyText"/>
      </w:pPr>
      <w:r>
        <w:t xml:space="preserve">This Purchase Order was issued in Riyadh, Saudi Arabia. Document Reference: KFUST-2025-RYD-04872. Page 1 of 1.</w:t>
      </w:r>
    </w:p>
    <w:p>
      <w:pPr>
        <w:pStyle w:val="BodyText"/>
      </w:pPr>
      <w:r>
        <w:t xml:space="preserve">© 2025 King Fahd University of Science and Technology – Procurement Division, Riyadh, Saudi Arabia.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 Saudi Arabia Riyadh</dc:title>
  <dc:creator/>
  <dc:language>en</dc:language>
  <cp:keywords/>
  <dcterms:created xsi:type="dcterms:W3CDTF">2026-10-10T01:05:58Z</dcterms:created>
  <dcterms:modified xsi:type="dcterms:W3CDTF">2026-10-10T01:05:58Z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