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Research</w:t>
      </w:r>
      <w:r>
        <w:t xml:space="preserve"> </w:t>
      </w:r>
      <w:r>
        <w:t xml:space="preserve">Equipment</w:t>
      </w:r>
    </w:p>
    <w:bookmarkStart w:id="20" w:name="purchase-order"/>
    <w:p>
      <w:pPr>
        <w:pStyle w:val="Heading2"/>
      </w:pPr>
      <w:r>
        <w:t xml:space="preserve">PURCHASE ORDER</w:t>
      </w:r>
    </w:p>
    <w:p>
      <w:pPr>
        <w:pStyle w:val="FirstParagraph"/>
      </w:pPr>
      <w:r>
        <w:t xml:space="preserve">PO No: SF-2025-004872</w:t>
      </w:r>
    </w:p>
    <w:p>
      <w:pPr>
        <w:pStyle w:val="BodyText"/>
      </w:pPr>
      <w:r>
        <w:t xml:space="preserve">Date: June 12, 2025</w:t>
      </w:r>
    </w:p>
    <w:bookmarkEnd w:id="20"/>
    <w:bookmarkStart w:id="21" w:name="academic-supplies-research-equipment-co."/>
    <w:p>
      <w:pPr>
        <w:pStyle w:val="Heading1"/>
      </w:pPr>
      <w:r>
        <w:t xml:space="preserve">ACADEMIC SUPPLIES &amp; RESEARCH EQUIPMENT CO.</w:t>
      </w:r>
    </w:p>
    <w:p>
      <w:pPr>
        <w:pStyle w:val="FirstParagraph"/>
      </w:pPr>
      <w:r>
        <w:t xml:space="preserve">1450 Market Street, Suite 820, San Francisco, California 94102, United States</w:t>
      </w:r>
    </w:p>
    <w:p>
      <w:pPr>
        <w:pStyle w:val="BodyText"/>
      </w:pPr>
      <w:r>
        <w:t xml:space="preserve">Phone: (415) 555-0198 | Email: procurement@academicsupplies-sf.com</w:t>
      </w:r>
    </w:p>
    <w:p>
      <w:pPr>
        <w:pStyle w:val="BodyText"/>
      </w:pPr>
      <w:r>
        <w:t xml:space="preserve">Tax ID: 94-2837461 | California Seller's Permit: C-1847293</w:t>
      </w:r>
    </w:p>
    <w:bookmarkEnd w:id="21"/>
    <w:bookmarkStart w:id="22" w:name="bill-to-ship-to"/>
    <w:p>
      <w:pPr>
        <w:pStyle w:val="Heading3"/>
      </w:pPr>
      <w:r>
        <w:t xml:space="preserve">Bill To / Ship To</w:t>
      </w:r>
    </w:p>
    <w:p>
      <w:pPr>
        <w:pStyle w:val="FirstParagraph"/>
      </w:pPr>
      <w:r>
        <w:rPr>
          <w:bCs/>
          <w:b/>
        </w:rPr>
        <w:t xml:space="preserve">Recipient:</w:t>
      </w:r>
      <w:r>
        <w:t xml:space="preserve"> </w:t>
      </w:r>
      <w:r>
        <w:t xml:space="preserve">Professor Eleanor M. Whitfield, Ph.D.</w:t>
      </w:r>
    </w:p>
    <w:p>
      <w:pPr>
        <w:pStyle w:val="BodyText"/>
      </w:pPr>
      <w:r>
        <w:rPr>
          <w:bCs/>
          <w:b/>
        </w:rPr>
        <w:t xml:space="preserve">Title:</w:t>
      </w:r>
      <w:r>
        <w:t xml:space="preserve"> </w:t>
      </w:r>
      <w:r>
        <w:t xml:space="preserve">Professor of Molecular Biology &amp; Bioinformatics</w:t>
      </w:r>
    </w:p>
    <w:p>
      <w:pPr>
        <w:pStyle w:val="BodyText"/>
      </w:pPr>
      <w:r>
        <w:rPr>
          <w:bCs/>
          <w:b/>
        </w:rPr>
        <w:t xml:space="preserve">Institution:</w:t>
      </w:r>
      <w:r>
        <w:t xml:space="preserve"> </w:t>
      </w:r>
      <w:r>
        <w:t xml:space="preserve">University of San Francisco</w:t>
      </w:r>
    </w:p>
    <w:p>
      <w:pPr>
        <w:pStyle w:val="BodyText"/>
      </w:pPr>
      <w:r>
        <w:rPr>
          <w:bCs/>
          <w:b/>
        </w:rPr>
        <w:t xml:space="preserve">Department:</w:t>
      </w:r>
      <w:r>
        <w:t xml:space="preserve"> </w:t>
      </w:r>
      <w:r>
        <w:t xml:space="preserve">Department of Life Sciences</w:t>
      </w:r>
    </w:p>
    <w:p>
      <w:pPr>
        <w:pStyle w:val="BodyText"/>
      </w:pPr>
      <w:r>
        <w:rPr>
          <w:bCs/>
          <w:b/>
        </w:rPr>
        <w:t xml:space="preserve">Address:</w:t>
      </w:r>
      <w:r>
        <w:t xml:space="preserve"> </w:t>
      </w:r>
      <w:r>
        <w:t xml:space="preserve">2130 Fulton Street, San Francisco, California 94117, United States</w:t>
      </w:r>
    </w:p>
    <w:p>
      <w:pPr>
        <w:pStyle w:val="BodyText"/>
      </w:pPr>
      <w:r>
        <w:rPr>
          <w:bCs/>
          <w:b/>
        </w:rPr>
        <w:t xml:space="preserve">Phone:</w:t>
      </w:r>
      <w:r>
        <w:t xml:space="preserve"> </w:t>
      </w:r>
      <w:r>
        <w:t xml:space="preserve">(415) 555-0342</w:t>
      </w:r>
    </w:p>
    <w:p>
      <w:pPr>
        <w:pStyle w:val="BodyText"/>
      </w:pPr>
      <w:r>
        <w:rPr>
          <w:bCs/>
          <w:b/>
        </w:rPr>
        <w:t xml:space="preserve">Email:</w:t>
      </w:r>
      <w:r>
        <w:t xml:space="preserve"> </w:t>
      </w:r>
      <w:r>
        <w:t xml:space="preserve">e.whitfield@usfca.edu</w:t>
      </w:r>
    </w:p>
    <w:p>
      <w:pPr>
        <w:pStyle w:val="BodyText"/>
      </w:pPr>
      <w:r>
        <w:rPr>
          <w:bCs/>
          <w:b/>
        </w:rPr>
        <w:t xml:space="preserve">Delivery Address:</w:t>
      </w:r>
      <w:r>
        <w:t xml:space="preserve"> </w:t>
      </w:r>
      <w:r>
        <w:t xml:space="preserve">Research Laboratory, Building C, Room 314</w:t>
      </w:r>
    </w:p>
    <w:p>
      <w:pPr>
        <w:pStyle w:val="BodyText"/>
      </w:pPr>
      <w:r>
        <w:rPr>
          <w:bCs/>
          <w:b/>
        </w:rPr>
        <w:t xml:space="preserve">University of San Francisco</w:t>
      </w:r>
    </w:p>
    <w:p>
      <w:pPr>
        <w:pStyle w:val="BodyText"/>
      </w:pPr>
      <w:r>
        <w:rPr>
          <w:bCs/>
          <w:b/>
        </w:rPr>
        <w:t xml:space="preserve">2130 Fulton Street</w:t>
      </w:r>
    </w:p>
    <w:p>
      <w:pPr>
        <w:pStyle w:val="BodyText"/>
      </w:pPr>
      <w:r>
        <w:rPr>
          <w:bCs/>
          <w:b/>
        </w:rPr>
        <w:t xml:space="preserve">San Francisco, CA 94117</w:t>
      </w:r>
    </w:p>
    <w:p>
      <w:pPr>
        <w:pStyle w:val="BodyText"/>
      </w:pPr>
      <w:r>
        <w:rPr>
          <w:bCs/>
          <w:b/>
        </w:rPr>
        <w:t xml:space="preserve">United States of America</w:t>
      </w:r>
    </w:p>
    <w:p>
      <w:pPr>
        <w:pStyle w:val="BodyText"/>
      </w:pPr>
      <w:r>
        <w:rPr>
          <w:bCs/>
          <w:b/>
        </w:rPr>
        <w:t xml:space="preserve">Delivery Window:</w:t>
      </w:r>
      <w:r>
        <w:t xml:space="preserve"> </w:t>
      </w:r>
      <w:r>
        <w:t xml:space="preserve">June 25 – July 5, 2025</w:t>
      </w:r>
    </w:p>
    <w:p>
      <w:pPr>
        <w:pStyle w:val="BodyText"/>
      </w:pPr>
      <w:r>
        <w:rPr>
          <w:bCs/>
          <w:b/>
        </w:rPr>
        <w:t xml:space="preserve">Delivery Contact:</w:t>
      </w:r>
      <w:r>
        <w:t xml:space="preserve"> </w:t>
      </w:r>
      <w:r>
        <w:t xml:space="preserve">Lab Manager, Dr. James Okafor</w:t>
      </w:r>
    </w:p>
    <w:bookmarkEnd w:id="22"/>
    <w:bookmarkStart w:id="23" w:name="Xd70aee74d6273d55d982a55c4fb1597fa6be869"/>
    <w:p>
      <w:pPr>
        <w:pStyle w:val="Heading3"/>
      </w:pPr>
      <w:r>
        <w:t xml:space="preserve">Order Details – Equipment for Professor Whitfield's Genomics Research Lab</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High-Throughput DNA Sequencing Kit (Illumina NovaSeq 6000 compatible), including reagents and calibration standards for Professor Whitfield's comparative genomics project</w:t>
            </w:r>
          </w:p>
        </w:tc>
        <w:tc>
          <w:tcPr/>
          <w:p>
            <w:pPr>
              <w:pStyle w:val="Compact"/>
              <w:jc w:val="left"/>
            </w:pPr>
            <w:r>
              <w:t xml:space="preserve">ILM-NS6000-KIT</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2</w:t>
            </w:r>
          </w:p>
        </w:tc>
        <w:tc>
          <w:tcPr/>
          <w:p>
            <w:pPr>
              <w:pStyle w:val="Compact"/>
              <w:jc w:val="left"/>
            </w:pPr>
            <w:r>
              <w:t xml:space="preserve">Ultra-Low Temperature Freezer (-80°C), 400L capacity, for long-term storage of biological samples in the San Francisco laboratory facility</w:t>
            </w:r>
          </w:p>
        </w:tc>
        <w:tc>
          <w:tcPr/>
          <w:p>
            <w:pPr>
              <w:pStyle w:val="Compact"/>
              <w:jc w:val="left"/>
            </w:pPr>
            <w:r>
              <w:t xml:space="preserve">ULT-400-80C</w:t>
            </w:r>
          </w:p>
        </w:tc>
        <w:tc>
          <w:tcPr/>
          <w:p>
            <w:pPr>
              <w:pStyle w:val="Compact"/>
              <w:jc w:val="left"/>
            </w:pPr>
            <w:r>
              <w:t xml:space="preserve">1</w:t>
            </w:r>
          </w:p>
        </w:tc>
        <w:tc>
          <w:tcPr/>
          <w:p>
            <w:pPr>
              <w:pStyle w:val="Compact"/>
              <w:jc w:val="left"/>
            </w:pPr>
            <w:r>
              <w:t xml:space="preserve">$8,720.00</w:t>
            </w:r>
          </w:p>
        </w:tc>
        <w:tc>
          <w:tcPr/>
          <w:p>
            <w:pPr>
              <w:pStyle w:val="Compact"/>
              <w:jc w:val="left"/>
            </w:pPr>
            <w:r>
              <w:t xml:space="preserve">$8,720.00</w:t>
            </w:r>
          </w:p>
        </w:tc>
      </w:tr>
      <w:tr>
        <w:tc>
          <w:tcPr/>
          <w:p>
            <w:pPr>
              <w:pStyle w:val="Compact"/>
              <w:jc w:val="left"/>
            </w:pPr>
            <w:r>
              <w:t xml:space="preserve">3</w:t>
            </w:r>
          </w:p>
        </w:tc>
        <w:tc>
          <w:tcPr/>
          <w:p>
            <w:pPr>
              <w:pStyle w:val="Compact"/>
              <w:jc w:val="left"/>
            </w:pPr>
            <w:r>
              <w:t xml:space="preserve">Real-Time PCR Thermal Cycler (96-well), with software license for Professor Whitfield's gene expression analysis coursework and research</w:t>
            </w:r>
          </w:p>
        </w:tc>
        <w:tc>
          <w:tcPr/>
          <w:p>
            <w:pPr>
              <w:pStyle w:val="Compact"/>
              <w:jc w:val="left"/>
            </w:pPr>
            <w:r>
              <w:t xml:space="preserve">PCR-96RT-2025</w:t>
            </w:r>
          </w:p>
        </w:tc>
        <w:tc>
          <w:tcPr/>
          <w:p>
            <w:pPr>
              <w:pStyle w:val="Compact"/>
              <w:jc w:val="left"/>
            </w:pPr>
            <w:r>
              <w:t xml:space="preserve">1</w:t>
            </w:r>
          </w:p>
        </w:tc>
        <w:tc>
          <w:tcPr/>
          <w:p>
            <w:pPr>
              <w:pStyle w:val="Compact"/>
              <w:jc w:val="left"/>
            </w:pPr>
            <w:r>
              <w:t xml:space="preserve">$6,340.00</w:t>
            </w:r>
          </w:p>
        </w:tc>
        <w:tc>
          <w:tcPr/>
          <w:p>
            <w:pPr>
              <w:pStyle w:val="Compact"/>
              <w:jc w:val="left"/>
            </w:pPr>
            <w:r>
              <w:t xml:space="preserve">$6,340.00</w:t>
            </w:r>
          </w:p>
        </w:tc>
      </w:tr>
      <w:tr>
        <w:tc>
          <w:tcPr/>
          <w:p>
            <w:pPr>
              <w:pStyle w:val="Compact"/>
              <w:jc w:val="left"/>
            </w:pPr>
            <w:r>
              <w:t xml:space="preserve">4</w:t>
            </w:r>
          </w:p>
        </w:tc>
        <w:tc>
          <w:tcPr/>
          <w:p>
            <w:pPr>
              <w:pStyle w:val="Compact"/>
              <w:jc w:val="left"/>
            </w:pPr>
            <w:r>
              <w:t xml:space="preserve">Microcentrifuge, 16-place, benchtop model, for routine sample preparation in the Department of Life Sciences</w:t>
            </w:r>
          </w:p>
        </w:tc>
        <w:tc>
          <w:tcPr/>
          <w:p>
            <w:pPr>
              <w:pStyle w:val="Compact"/>
              <w:jc w:val="left"/>
            </w:pPr>
            <w:r>
              <w:t xml:space="preserve">CFG-16B-STD</w:t>
            </w:r>
          </w:p>
        </w:tc>
        <w:tc>
          <w:tcPr/>
          <w:p>
            <w:pPr>
              <w:pStyle w:val="Compact"/>
              <w:jc w:val="left"/>
            </w:pPr>
            <w:r>
              <w:t xml:space="preserve">3</w:t>
            </w:r>
          </w:p>
        </w:tc>
        <w:tc>
          <w:tcPr/>
          <w:p>
            <w:pPr>
              <w:pStyle w:val="Compact"/>
              <w:jc w:val="left"/>
            </w:pPr>
            <w:r>
              <w:t xml:space="preserve">$1,890.00</w:t>
            </w:r>
          </w:p>
        </w:tc>
        <w:tc>
          <w:tcPr/>
          <w:p>
            <w:pPr>
              <w:pStyle w:val="Compact"/>
              <w:jc w:val="left"/>
            </w:pPr>
            <w:r>
              <w:t xml:space="preserve">$5,670.00</w:t>
            </w:r>
          </w:p>
        </w:tc>
      </w:tr>
      <w:tr>
        <w:tc>
          <w:tcPr/>
          <w:p>
            <w:pPr>
              <w:pStyle w:val="Compact"/>
              <w:jc w:val="left"/>
            </w:pPr>
            <w:r>
              <w:t xml:space="preserve">5</w:t>
            </w:r>
          </w:p>
        </w:tc>
        <w:tc>
          <w:tcPr/>
          <w:p>
            <w:pPr>
              <w:pStyle w:val="Compact"/>
              <w:jc w:val="left"/>
            </w:pPr>
            <w:r>
              <w:t xml:space="preserve">Lab Notebook Set (200 pages, acid-free, bound), 12-pack, for Professor Whitfield's graduate students and research assistants</w:t>
            </w:r>
          </w:p>
        </w:tc>
        <w:tc>
          <w:tcPr/>
          <w:p>
            <w:pPr>
              <w:pStyle w:val="Compact"/>
              <w:jc w:val="left"/>
            </w:pPr>
            <w:r>
              <w:t xml:space="preserve">LN-200-12PK</w:t>
            </w:r>
          </w:p>
        </w:tc>
        <w:tc>
          <w:tcPr/>
          <w:p>
            <w:pPr>
              <w:pStyle w:val="Compact"/>
              <w:jc w:val="left"/>
            </w:pPr>
            <w:r>
              <w:t xml:space="preserve">5</w:t>
            </w:r>
          </w:p>
        </w:tc>
        <w:tc>
          <w:tcPr/>
          <w:p>
            <w:pPr>
              <w:pStyle w:val="Compact"/>
              <w:jc w:val="left"/>
            </w:pPr>
            <w:r>
              <w:t xml:space="preserve">$42.00</w:t>
            </w:r>
          </w:p>
        </w:tc>
        <w:tc>
          <w:tcPr/>
          <w:p>
            <w:pPr>
              <w:pStyle w:val="Compact"/>
              <w:jc w:val="left"/>
            </w:pPr>
            <w:r>
              <w:t xml:space="preserve">$210.00</w:t>
            </w:r>
          </w:p>
        </w:tc>
      </w:tr>
      <w:tr>
        <w:tc>
          <w:tcPr/>
          <w:p>
            <w:pPr>
              <w:pStyle w:val="Compact"/>
              <w:jc w:val="left"/>
            </w:pPr>
            <w:r>
              <w:t xml:space="preserve">6</w:t>
            </w:r>
          </w:p>
        </w:tc>
        <w:tc>
          <w:tcPr/>
          <w:p>
            <w:pPr>
              <w:pStyle w:val="Compact"/>
              <w:jc w:val="left"/>
            </w:pPr>
            <w:r>
              <w:t xml:space="preserve">Personal Protective Equipment (PPE) Bundle: nitrile gloves (size M, 1000 ct), lab coats (size L, 6 units), safety goggles (10 units), face shields (5 units)</w:t>
            </w:r>
          </w:p>
        </w:tc>
        <w:tc>
          <w:tcPr/>
          <w:p>
            <w:pPr>
              <w:pStyle w:val="Compact"/>
              <w:jc w:val="left"/>
            </w:pPr>
            <w:r>
              <w:t xml:space="preserve">PPE-BND-STD</w:t>
            </w:r>
          </w:p>
        </w:tc>
        <w:tc>
          <w:tcPr/>
          <w:p>
            <w:pPr>
              <w:pStyle w:val="Compact"/>
              <w:jc w:val="left"/>
            </w:pPr>
            <w:r>
              <w:t xml:space="preserve">4</w:t>
            </w:r>
          </w:p>
        </w:tc>
        <w:tc>
          <w:tcPr/>
          <w:p>
            <w:pPr>
              <w:pStyle w:val="Compact"/>
              <w:jc w:val="left"/>
            </w:pPr>
            <w:r>
              <w:t xml:space="preserve">$315.00</w:t>
            </w:r>
          </w:p>
        </w:tc>
        <w:tc>
          <w:tcPr/>
          <w:p>
            <w:pPr>
              <w:pStyle w:val="Compact"/>
              <w:jc w:val="left"/>
            </w:pPr>
            <w:r>
              <w:t xml:space="preserve">$1,260.00</w:t>
            </w:r>
          </w:p>
        </w:tc>
      </w:tr>
      <w:tr>
        <w:tc>
          <w:tcPr/>
          <w:p>
            <w:pPr>
              <w:pStyle w:val="Compact"/>
              <w:jc w:val="left"/>
            </w:pPr>
            <w:r>
              <w:t xml:space="preserve">7</w:t>
            </w:r>
          </w:p>
        </w:tc>
        <w:tc>
          <w:tcPr/>
          <w:p>
            <w:pPr>
              <w:pStyle w:val="Compact"/>
              <w:jc w:val="left"/>
            </w:pPr>
            <w:r>
              <w:t xml:space="preserve">Refrigerated Centrifuge, 4°C to 25°C range, 24-place rotor, for protein purification experiments</w:t>
            </w:r>
          </w:p>
        </w:tc>
        <w:tc>
          <w:tcPr/>
          <w:p>
            <w:pPr>
              <w:pStyle w:val="Compact"/>
              <w:jc w:val="left"/>
            </w:pPr>
            <w:r>
              <w:t xml:space="preserve">RCF-24-4C</w:t>
            </w:r>
          </w:p>
        </w:tc>
        <w:tc>
          <w:tcPr/>
          <w:p>
            <w:pPr>
              <w:pStyle w:val="Compact"/>
              <w:jc w:val="left"/>
            </w:pPr>
            <w:r>
              <w:t xml:space="preserve">1</w:t>
            </w:r>
          </w:p>
        </w:tc>
        <w:tc>
          <w:tcPr/>
          <w:p>
            <w:pPr>
              <w:pStyle w:val="Compact"/>
              <w:jc w:val="left"/>
            </w:pPr>
            <w:r>
              <w:t xml:space="preserve">$4,580.00</w:t>
            </w:r>
          </w:p>
        </w:tc>
        <w:tc>
          <w:tcPr/>
          <w:p>
            <w:pPr>
              <w:pStyle w:val="Compact"/>
              <w:jc w:val="left"/>
            </w:pPr>
            <w:r>
              <w:t xml:space="preserve">$4,580.00</w:t>
            </w:r>
          </w:p>
        </w:tc>
      </w:tr>
      <w:tr>
        <w:tc>
          <w:tcPr/>
          <w:p>
            <w:pPr>
              <w:pStyle w:val="Compact"/>
              <w:jc w:val="left"/>
            </w:pPr>
            <w:r>
              <w:t xml:space="preserve">8</w:t>
            </w:r>
          </w:p>
        </w:tc>
        <w:tc>
          <w:tcPr/>
          <w:p>
            <w:pPr>
              <w:pStyle w:val="Compact"/>
              <w:jc w:val="left"/>
            </w:pPr>
            <w:r>
              <w:t xml:space="preserve">Biological Safety Cabinet, Class II Type A2, 48-inch width, for handling of infectious agents in compliance with San Francisco Department of Public Health regulations</w:t>
            </w:r>
          </w:p>
        </w:tc>
        <w:tc>
          <w:tcPr/>
          <w:p>
            <w:pPr>
              <w:pStyle w:val="Compact"/>
              <w:jc w:val="left"/>
            </w:pPr>
            <w:r>
              <w:t xml:space="preserve">BSC-IIA2-48</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bl>
    <w:p>
      <w:pPr>
        <w:pStyle w:val="BodyText"/>
      </w:pPr>
      <w:r>
        <w:t xml:space="preserve">Subtotal: $62,880.00</w:t>
      </w:r>
    </w:p>
    <w:p>
      <w:pPr>
        <w:pStyle w:val="BodyText"/>
      </w:pPr>
      <w:r>
        <w:t xml:space="preserve">California Sales Tax (8.625%): $5,423.40</w:t>
      </w:r>
    </w:p>
    <w:p>
      <w:pPr>
        <w:pStyle w:val="BodyText"/>
      </w:pPr>
      <w:r>
        <w:t xml:space="preserve">Shipping &amp; Installation (San Francisco Metro): $1,850.00</w:t>
      </w:r>
    </w:p>
    <w:p>
      <w:pPr>
        <w:pStyle w:val="BodyText"/>
      </w:pPr>
      <w:r>
        <w:t xml:space="preserve">Grand Total: $70,153.40 USD</w:t>
      </w:r>
    </w:p>
    <w:bookmarkEnd w:id="23"/>
    <w:bookmarkStart w:id="24" w:name="terms-and-conditions"/>
    <w:p>
      <w:pPr>
        <w:pStyle w:val="Heading3"/>
      </w:pPr>
      <w:r>
        <w:t xml:space="preserve">Terms and Conditions</w:t>
      </w:r>
    </w:p>
    <w:p>
      <w:pPr>
        <w:pStyle w:val="FirstParagraph"/>
      </w:pPr>
      <w:r>
        <w:rPr>
          <w:bCs/>
          <w:b/>
        </w:rPr>
        <w:t xml:space="preserve">1. Payment Terms:</w:t>
      </w:r>
      <w:r>
        <w:t xml:space="preserve"> </w:t>
      </w:r>
      <w:r>
        <w:t xml:space="preserve">Net 30 days from date of invoice. Payment shall be made via electronic funds transfer (EFT) to the account designated by Academic Supplies &amp; Research Equipment Co. A 1.5% monthly late fee shall apply to overdue balances. This Purchase Order is issued under the authority of the University of San Francisco Office of Procurement and is subject to federal and California state purchasing regulations.</w:t>
      </w:r>
    </w:p>
    <w:p>
      <w:pPr>
        <w:pStyle w:val="BodyText"/>
      </w:pPr>
      <w:r>
        <w:rPr>
          <w:bCs/>
          <w:b/>
        </w:rPr>
        <w:t xml:space="preserve">2. Delivery:</w:t>
      </w:r>
      <w:r>
        <w:t xml:space="preserve"> </w:t>
      </w:r>
      <w:r>
        <w:t xml:space="preserve">All items listed in this Purchase Order shall be delivered to the University of San Francisco, Building C, Room 314, 2130 Fulton Street, San Francisco, California 94117, United States. Delivery must be completed no later than July 5, 2025. The vendor is responsible for all freight, insurance, and installation costs within the San Francisco metropolitan area. Large equipment items (Items 2, 7, and 8) require a minimum of 48 hours advance notice for delivery scheduling.</w:t>
      </w:r>
    </w:p>
    <w:p>
      <w:pPr>
        <w:pStyle w:val="BodyText"/>
      </w:pPr>
      <w:r>
        <w:rPr>
          <w:bCs/>
          <w:b/>
        </w:rPr>
        <w:t xml:space="preserve">3. Acceptance and Inspection:</w:t>
      </w:r>
      <w:r>
        <w:t xml:space="preserve"> </w:t>
      </w:r>
      <w:r>
        <w:t xml:space="preserve">Professor Whitfield or her designated laboratory manager shall inspect all delivered goods within five (5) business days of receipt. Any items found to be damaged, defective, or not conforming to the specifications outlined in this Purchase Order must be reported in writing to the vendor within the inspection period. The vendor shall replace or repair non-conforming items at no additional cost to the University of San Francisco.</w:t>
      </w:r>
    </w:p>
    <w:p>
      <w:pPr>
        <w:pStyle w:val="BodyText"/>
      </w:pPr>
      <w:r>
        <w:rPr>
          <w:bCs/>
          <w:b/>
        </w:rPr>
        <w:t xml:space="preserve">4. Warranty:</w:t>
      </w:r>
      <w:r>
        <w:t xml:space="preserve"> </w:t>
      </w:r>
      <w:r>
        <w:t xml:space="preserve">All equipment is covered by a minimum two-year manufacturer's warranty from the date of installation. Consumable items (Items 1, 5, and 6) are covered by a 90-day quality guarantee. The vendor shall provide all warranty documentation in English at the time of delivery.</w:t>
      </w:r>
    </w:p>
    <w:p>
      <w:pPr>
        <w:pStyle w:val="BodyText"/>
      </w:pPr>
      <w:r>
        <w:rPr>
          <w:bCs/>
          <w:b/>
        </w:rPr>
        <w:t xml:space="preserve">5. Cancellation:</w:t>
      </w:r>
      <w:r>
        <w:t xml:space="preserve"> </w:t>
      </w:r>
      <w:r>
        <w:t xml:space="preserve">This Purchase Order may be cancelled in whole or in part by the University of San Francisco prior to shipment without penalty. Cancellation after shipment shall be subject to a 15% restocking fee on returned items. All cancellations must be communicated in writing to the vendor's procurement office in San Francisco.</w:t>
      </w:r>
    </w:p>
    <w:p>
      <w:pPr>
        <w:pStyle w:val="BodyText"/>
      </w:pPr>
      <w:r>
        <w:rPr>
          <w:bCs/>
          <w:b/>
        </w:rPr>
        <w:t xml:space="preserve">6. Compliance:</w:t>
      </w:r>
      <w:r>
        <w:t xml:space="preserve"> </w:t>
      </w:r>
      <w:r>
        <w:t xml:space="preserve">All products must comply with applicable United States federal regulations, California state safety standards, and San Francisco municipal codes. The vendor certifies that all biological safety equipment meets CDC and OSHA guidelines. The vendor shall provide Material Safety Data Sheets (MSDS) for all chemical reagents included in this order.</w:t>
      </w:r>
    </w:p>
    <w:p>
      <w:pPr>
        <w:pStyle w:val="BodyText"/>
      </w:pPr>
      <w:r>
        <w:rPr>
          <w:bCs/>
          <w:b/>
        </w:rPr>
        <w:t xml:space="preserve">7. Governing Law:</w:t>
      </w:r>
      <w:r>
        <w:t xml:space="preserve"> </w:t>
      </w:r>
      <w:r>
        <w:t xml:space="preserve">This Purchase Order shall be governed by and construed in accordance with the laws of the State of California, United States. Any disputes arising from this Purchase Order shall be resolved in the courts of San Francisco County, California.</w:t>
      </w:r>
    </w:p>
    <w:bookmarkEnd w:id="24"/>
    <w:bookmarkStart w:id="25" w:name="authorized-signatures"/>
    <w:p>
      <w:pPr>
        <w:pStyle w:val="Heading3"/>
      </w:pPr>
      <w:r>
        <w:t xml:space="preserve">Authorized Signatures</w:t>
      </w:r>
    </w:p>
    <w:p>
      <w:pPr>
        <w:pStyle w:val="FirstParagraph"/>
      </w:pPr>
      <w:r>
        <w:rPr>
          <w:bCs/>
          <w:b/>
        </w:rPr>
        <w:t xml:space="preserve">For the Vendor:</w:t>
      </w:r>
    </w:p>
    <w:p>
      <w:pPr>
        <w:pStyle w:val="BodyText"/>
      </w:pPr>
      <w:r>
        <w:t xml:space="preserve">Academic Supplies &amp; Research Equipment Co.</w:t>
      </w:r>
    </w:p>
    <w:p>
      <w:pPr>
        <w:pStyle w:val="BodyText"/>
      </w:pPr>
      <w:r>
        <w:t xml:space="preserve">Name: ___________________________</w:t>
      </w:r>
    </w:p>
    <w:p>
      <w:pPr>
        <w:pStyle w:val="BodyText"/>
      </w:pPr>
      <w:r>
        <w:t xml:space="preserve">Title: Procurement Director</w:t>
      </w:r>
    </w:p>
    <w:p>
      <w:pPr>
        <w:pStyle w:val="BodyText"/>
      </w:pPr>
      <w:r>
        <w:t xml:space="preserve">Date: ___________________________</w:t>
      </w:r>
    </w:p>
    <w:p>
      <w:pPr>
        <w:pStyle w:val="BodyText"/>
      </w:pPr>
      <w:r>
        <w:rPr>
          <w:bCs/>
          <w:b/>
        </w:rPr>
        <w:t xml:space="preserve">For the University of San Francisco:</w:t>
      </w:r>
    </w:p>
    <w:p>
      <w:pPr>
        <w:pStyle w:val="BodyText"/>
      </w:pPr>
      <w:r>
        <w:t xml:space="preserve">Office of Procurement</w:t>
      </w:r>
    </w:p>
    <w:p>
      <w:pPr>
        <w:pStyle w:val="BodyText"/>
      </w:pPr>
      <w:r>
        <w:t xml:space="preserve">Name: ___________________________</w:t>
      </w:r>
    </w:p>
    <w:p>
      <w:pPr>
        <w:pStyle w:val="BodyText"/>
      </w:pPr>
      <w:r>
        <w:t xml:space="preserve">Title: Procurement Officer</w:t>
      </w:r>
    </w:p>
    <w:p>
      <w:pPr>
        <w:pStyle w:val="BodyText"/>
      </w:pPr>
      <w:r>
        <w:t xml:space="preserve">Date: ___________________________</w:t>
      </w:r>
    </w:p>
    <w:p>
      <w:pPr>
        <w:pStyle w:val="BodyText"/>
      </w:pPr>
      <w:r>
        <w:rPr>
          <w:bCs/>
          <w:b/>
        </w:rPr>
        <w:t xml:space="preserve">Received and Approved By:</w:t>
      </w:r>
    </w:p>
    <w:p>
      <w:pPr>
        <w:pStyle w:val="BodyText"/>
      </w:pPr>
      <w:r>
        <w:t xml:space="preserve">Professor Eleanor M. Whitfield, Ph.D.</w:t>
      </w:r>
    </w:p>
    <w:p>
      <w:pPr>
        <w:pStyle w:val="BodyText"/>
      </w:pPr>
      <w:r>
        <w:t xml:space="preserve">Department of Life Sciences</w:t>
      </w:r>
    </w:p>
    <w:p>
      <w:pPr>
        <w:pStyle w:val="BodyText"/>
      </w:pPr>
      <w:r>
        <w:t xml:space="preserve">Name: ___________________________</w:t>
      </w:r>
    </w:p>
    <w:p>
      <w:pPr>
        <w:pStyle w:val="BodyText"/>
      </w:pPr>
      <w:r>
        <w:t xml:space="preserve">Date: ___________________________</w:t>
      </w:r>
    </w:p>
    <w:bookmarkEnd w:id="25"/>
    <w:p>
      <w:pPr>
        <w:pStyle w:val="BodyText"/>
      </w:pPr>
      <w:r>
        <w:t xml:space="preserve">This Purchase Order document was generated by Academic Supplies &amp; Research Equipment Co., San Francisco, California, United States.</w:t>
      </w:r>
    </w:p>
    <w:p>
      <w:pPr>
        <w:pStyle w:val="BodyText"/>
      </w:pPr>
      <w:r>
        <w:t xml:space="preserve">PO No: SF-2025-004872 | Issued: June 12, 2025 | Valid Until: July 15, 2025</w:t>
      </w:r>
    </w:p>
    <w:p>
      <w:pPr>
        <w:pStyle w:val="BodyText"/>
      </w:pPr>
      <w:r>
        <w:t xml:space="preserve">For questions regarding this Purchase Order, contact procurement@academicsupplies-sf.com or call (415) 555-0198.</w:t>
      </w:r>
    </w:p>
    <w:p>
      <w:pPr>
        <w:pStyle w:val="BodyText"/>
      </w:pPr>
      <w:r>
        <w:t xml:space="preserve">© 2025 Academic Supplies &amp; Research Equipment Co. All rights reserved. San Francisco, CA,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Research Equipment</dc:title>
  <dc:creator/>
  <dc:language>en</dc:language>
  <cp:keywords/>
  <dcterms:created xsi:type="dcterms:W3CDTF">2026-10-10T04:13:29Z</dcterms:created>
  <dcterms:modified xsi:type="dcterms:W3CDTF">2026-10-10T04:13:29Z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