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Eastgate Infrastructure &amp; Development Ltd.</w:t>
      </w:r>
    </w:p>
    <w:p>
      <w:pPr>
        <w:pStyle w:val="BodyText"/>
      </w:pPr>
      <w:r>
        <w:t xml:space="preserve">P.O. Box 4521, Westlands, Kenya Nairobi</w:t>
      </w:r>
    </w:p>
    <w:p>
      <w:pPr>
        <w:pStyle w:val="BodyText"/>
      </w:pPr>
      <w:r>
        <w:t xml:space="preserve">Tel: +254-700-123-456 | Email: procurement@eastgateinfra.co.ke</w:t>
      </w:r>
    </w:p>
    <w:p>
      <w:pPr>
        <w:pStyle w:val="BodyText"/>
      </w:pPr>
      <w:r>
        <w:t xml:space="preserve">Registration No. KE-2019-004521 | KRA PIN: P051234567X</w:t>
      </w:r>
    </w:p>
    <w:bookmarkEnd w:id="20"/>
    <w:p>
      <w:pPr>
        <w:pStyle w:val="BodyText"/>
      </w:pPr>
      <w:r>
        <w:rPr>
          <w:bCs/>
          <w:b/>
        </w:rPr>
        <w:t xml:space="preserve">Purchase Order No.</w:t>
      </w:r>
      <w:r>
        <w:t xml:space="preserve"> </w:t>
      </w:r>
      <w:r>
        <w:t xml:space="preserve">PO-ENB-2025-00847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NBO-INFRA-2025-012</w:t>
      </w:r>
    </w:p>
    <w:p>
      <w:pPr>
        <w:pStyle w:val="BodyText"/>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Project Management Consultancy (K) Ltd.</w:t>
            </w:r>
          </w:p>
        </w:tc>
      </w:tr>
      <w:tr>
        <w:tc>
          <w:tcPr/>
          <w:p>
            <w:pPr>
              <w:pStyle w:val="Compact"/>
              <w:jc w:val="left"/>
            </w:pPr>
            <w:r>
              <w:t xml:space="preserve">Address</w:t>
            </w:r>
          </w:p>
        </w:tc>
        <w:tc>
          <w:tcPr/>
          <w:p>
            <w:pPr>
              <w:pStyle w:val="Compact"/>
              <w:jc w:val="left"/>
            </w:pPr>
            <w:r>
              <w:t xml:space="preserve">Suite 12, River Road Business Centre, Upper Hill, Kenya Nairobi</w:t>
            </w:r>
          </w:p>
        </w:tc>
      </w:tr>
      <w:tr>
        <w:tc>
          <w:tcPr/>
          <w:p>
            <w:pPr>
              <w:pStyle w:val="Compact"/>
              <w:jc w:val="left"/>
            </w:pPr>
            <w:r>
              <w:t xml:space="preserve">Contact Person</w:t>
            </w:r>
          </w:p>
        </w:tc>
        <w:tc>
          <w:tcPr/>
          <w:p>
            <w:pPr>
              <w:pStyle w:val="Compact"/>
              <w:jc w:val="left"/>
            </w:pPr>
            <w:r>
              <w:t xml:space="preserve">Mr. David Mwangi, Director</w:t>
            </w:r>
          </w:p>
        </w:tc>
      </w:tr>
      <w:tr>
        <w:tc>
          <w:tcPr/>
          <w:p>
            <w:pPr>
              <w:pStyle w:val="Compact"/>
              <w:jc w:val="left"/>
            </w:pPr>
            <w:r>
              <w:t xml:space="preserve">Phone / Email</w:t>
            </w:r>
          </w:p>
        </w:tc>
        <w:tc>
          <w:tcPr/>
          <w:p>
            <w:pPr>
              <w:pStyle w:val="Compact"/>
              <w:jc w:val="left"/>
            </w:pPr>
            <w:r>
              <w:t xml:space="preserve">+254-722-987-654 / d.mwangi@apexpm.co.ke</w:t>
            </w:r>
          </w:p>
        </w:tc>
      </w:tr>
      <w:tr>
        <w:tc>
          <w:tcPr/>
          <w:p>
            <w:pPr>
              <w:pStyle w:val="Compact"/>
              <w:jc w:val="left"/>
            </w:pPr>
            <w:r>
              <w:t xml:space="preserve">KRA PIN</w:t>
            </w:r>
          </w:p>
        </w:tc>
        <w:tc>
          <w:tcPr/>
          <w:p>
            <w:pPr>
              <w:pStyle w:val="Compact"/>
              <w:jc w:val="left"/>
            </w:pPr>
            <w:r>
              <w:t xml:space="preserve">P059876543X</w:t>
            </w:r>
          </w:p>
        </w:tc>
      </w:tr>
      <w:tr>
        <w:tc>
          <w:tcPr/>
          <w:p>
            <w:pPr>
              <w:pStyle w:val="Compact"/>
              <w:jc w:val="left"/>
            </w:pPr>
            <w:r>
              <w:t xml:space="preserve">Bank Details</w:t>
            </w:r>
          </w:p>
        </w:tc>
        <w:tc>
          <w:tcPr/>
          <w:p>
            <w:pPr>
              <w:pStyle w:val="Compact"/>
              <w:jc w:val="left"/>
            </w:pPr>
            <w:r>
              <w:t xml:space="preserve">Equity Bank, Account No. 0021-456789-01, Branch: Nairobi CBD</w:t>
            </w:r>
          </w:p>
        </w:tc>
      </w:tr>
    </w:tbl>
    <w:p>
      <w:pPr>
        <w:pStyle w:val="BodyText"/>
      </w:pPr>
      <w:r>
        <w:t xml:space="preserve">2. Description of Services – Project Manager Engagement</w:t>
      </w:r>
    </w:p>
    <w:p>
      <w:pPr>
        <w:pStyle w:val="BodyText"/>
      </w:pPr>
      <w:r>
        <w:t xml:space="preserve">This</w:t>
      </w:r>
      <w:r>
        <w:t xml:space="preserve"> </w:t>
      </w:r>
      <w:r>
        <w:t xml:space="preserve">Purchase Order</w:t>
      </w:r>
      <w:r>
        <w:t xml:space="preserve"> </w:t>
      </w:r>
      <w:r>
        <w:t xml:space="preserve">is issued by Eastgate Infrastructure &amp; Development Ltd. to formally engage the services of a qualified</w:t>
      </w:r>
      <w:r>
        <w:t xml:space="preserve"> </w:t>
      </w:r>
      <w:r>
        <w:t xml:space="preserve">Project Manager</w:t>
      </w:r>
      <w:r>
        <w:t xml:space="preserve"> </w:t>
      </w:r>
      <w:r>
        <w:t xml:space="preserve">to oversee the design, construction, and commissioning of the Nairobi West Corridor Road Rehabilitation Project, located within the Kenya Nairobi metropolitan area. The</w:t>
      </w:r>
      <w:r>
        <w:t xml:space="preserve"> </w:t>
      </w:r>
      <w:r>
        <w:t xml:space="preserve">Project Manager</w:t>
      </w:r>
      <w:r>
        <w:t xml:space="preserve"> </w:t>
      </w:r>
      <w:r>
        <w:t xml:space="preserve">shall be responsible for full lifecycle management of the project, including but not limited to planning, scheduling, budgeting, stakeholder coordination, quality assurance, risk management, and final handover documentation. The engagement is governed by the terms set forth in this</w:t>
      </w:r>
      <w:r>
        <w:t xml:space="preserve"> </w:t>
      </w:r>
      <w:r>
        <w:t xml:space="preserve">Purchase Order</w:t>
      </w:r>
      <w:r>
        <w:t xml:space="preserve"> </w:t>
      </w:r>
      <w:r>
        <w:t xml:space="preserve">and the attached Statement of Work (SOW-ENB-2025-012).</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Project Manager – Full-time on-site supervision of the Kenya Nairobi road rehabilitation works (Phase 1: Design &amp; Planning)</w:t>
            </w:r>
          </w:p>
        </w:tc>
        <w:tc>
          <w:tcPr/>
          <w:p>
            <w:pPr>
              <w:pStyle w:val="Compact"/>
              <w:jc w:val="left"/>
            </w:pPr>
            <w:r>
              <w:t xml:space="preserve">3 months</w:t>
            </w:r>
          </w:p>
        </w:tc>
        <w:tc>
          <w:tcPr/>
          <w:p>
            <w:pPr>
              <w:pStyle w:val="Compact"/>
              <w:jc w:val="left"/>
            </w:pPr>
            <w:r>
              <w:t xml:space="preserve">450,000 / month</w:t>
            </w:r>
          </w:p>
        </w:tc>
        <w:tc>
          <w:tcPr/>
          <w:p>
            <w:pPr>
              <w:pStyle w:val="Compact"/>
              <w:jc w:val="left"/>
            </w:pPr>
            <w:r>
              <w:t xml:space="preserve">1,350,000</w:t>
            </w:r>
          </w:p>
        </w:tc>
        <w:tc>
          <w:tcPr/>
          <w:p>
            <w:pPr>
              <w:pStyle w:val="Compact"/>
              <w:jc w:val="left"/>
            </w:pPr>
            <w:r>
              <w:t xml:space="preserve">Includes travel within Kenya Nairobi</w:t>
            </w:r>
          </w:p>
        </w:tc>
      </w:tr>
      <w:tr>
        <w:tc>
          <w:tcPr/>
          <w:p>
            <w:pPr>
              <w:pStyle w:val="Compact"/>
              <w:jc w:val="left"/>
            </w:pPr>
            <w:r>
              <w:t xml:space="preserve">2</w:t>
            </w:r>
          </w:p>
        </w:tc>
        <w:tc>
          <w:tcPr/>
          <w:p>
            <w:pPr>
              <w:pStyle w:val="Compact"/>
              <w:jc w:val="left"/>
            </w:pPr>
            <w:r>
              <w:t xml:space="preserve">Senior Project Manager – Construction phase oversight, contractor coordination, and progress reporting (Phase 2: Execution)</w:t>
            </w:r>
          </w:p>
        </w:tc>
        <w:tc>
          <w:tcPr/>
          <w:p>
            <w:pPr>
              <w:pStyle w:val="Compact"/>
              <w:jc w:val="left"/>
            </w:pPr>
            <w:r>
              <w:t xml:space="preserve">8 months</w:t>
            </w:r>
          </w:p>
        </w:tc>
        <w:tc>
          <w:tcPr/>
          <w:p>
            <w:pPr>
              <w:pStyle w:val="Compact"/>
              <w:jc w:val="left"/>
            </w:pPr>
            <w:r>
              <w:t xml:space="preserve">520,000 / month</w:t>
            </w:r>
          </w:p>
        </w:tc>
        <w:tc>
          <w:tcPr/>
          <w:p>
            <w:pPr>
              <w:pStyle w:val="Compact"/>
              <w:jc w:val="left"/>
            </w:pPr>
            <w:r>
              <w:t xml:space="preserve">4,160,000</w:t>
            </w:r>
          </w:p>
        </w:tc>
        <w:tc>
          <w:tcPr/>
          <w:p>
            <w:pPr>
              <w:pStyle w:val="Compact"/>
              <w:jc w:val="left"/>
            </w:pPr>
            <w:r>
              <w:t xml:space="preserve">Includes weekly site visits in Kenya Nairobi</w:t>
            </w:r>
          </w:p>
        </w:tc>
      </w:tr>
      <w:tr>
        <w:tc>
          <w:tcPr/>
          <w:p>
            <w:pPr>
              <w:pStyle w:val="Compact"/>
              <w:jc w:val="left"/>
            </w:pPr>
            <w:r>
              <w:t xml:space="preserve">3</w:t>
            </w:r>
          </w:p>
        </w:tc>
        <w:tc>
          <w:tcPr/>
          <w:p>
            <w:pPr>
              <w:pStyle w:val="Compact"/>
              <w:jc w:val="left"/>
            </w:pPr>
            <w:r>
              <w:t xml:space="preserve">Project Manager – Commissioning, snagging, and final handover to the Kenya Nairobi County Government</w:t>
            </w:r>
          </w:p>
        </w:tc>
        <w:tc>
          <w:tcPr/>
          <w:p>
            <w:pPr>
              <w:pStyle w:val="Compact"/>
              <w:jc w:val="left"/>
            </w:pPr>
            <w:r>
              <w:t xml:space="preserve">2 months</w:t>
            </w:r>
          </w:p>
        </w:tc>
        <w:tc>
          <w:tcPr/>
          <w:p>
            <w:pPr>
              <w:pStyle w:val="Compact"/>
              <w:jc w:val="left"/>
            </w:pPr>
            <w:r>
              <w:t xml:space="preserve">480,000 / month</w:t>
            </w:r>
          </w:p>
        </w:tc>
        <w:tc>
          <w:tcPr/>
          <w:p>
            <w:pPr>
              <w:pStyle w:val="Compact"/>
              <w:jc w:val="left"/>
            </w:pPr>
            <w:r>
              <w:t xml:space="preserve">960,000</w:t>
            </w:r>
          </w:p>
        </w:tc>
        <w:tc>
          <w:tcPr/>
          <w:p>
            <w:pPr>
              <w:pStyle w:val="Compact"/>
              <w:jc w:val="left"/>
            </w:pPr>
            <w:r>
              <w:t xml:space="preserve">Includes final audit and documentation</w:t>
            </w:r>
          </w:p>
        </w:tc>
      </w:tr>
      <w:tr>
        <w:tc>
          <w:tcPr/>
          <w:p>
            <w:pPr>
              <w:pStyle w:val="Compact"/>
              <w:jc w:val="left"/>
            </w:pPr>
            <w:r>
              <w:t xml:space="preserve">4</w:t>
            </w:r>
          </w:p>
        </w:tc>
        <w:tc>
          <w:tcPr/>
          <w:p>
            <w:pPr>
              <w:pStyle w:val="Compact"/>
              <w:jc w:val="left"/>
            </w:pPr>
            <w:r>
              <w:t xml:space="preserve">Project Manager – Post-completion warranty period support and defect rectification oversight</w:t>
            </w:r>
          </w:p>
        </w:tc>
        <w:tc>
          <w:tcPr/>
          <w:p>
            <w:pPr>
              <w:pStyle w:val="Compact"/>
              <w:jc w:val="left"/>
            </w:pPr>
            <w:r>
              <w:t xml:space="preserve">6 months</w:t>
            </w:r>
          </w:p>
        </w:tc>
        <w:tc>
          <w:tcPr/>
          <w:p>
            <w:pPr>
              <w:pStyle w:val="Compact"/>
              <w:jc w:val="left"/>
            </w:pPr>
            <w:r>
              <w:t xml:space="preserve">200,000 / month</w:t>
            </w:r>
          </w:p>
        </w:tc>
        <w:tc>
          <w:tcPr/>
          <w:p>
            <w:pPr>
              <w:pStyle w:val="Compact"/>
              <w:jc w:val="left"/>
            </w:pPr>
            <w:r>
              <w:t xml:space="preserve">1,200,000</w:t>
            </w:r>
          </w:p>
        </w:tc>
        <w:tc>
          <w:tcPr/>
          <w:p>
            <w:pPr>
              <w:pStyle w:val="Compact"/>
              <w:jc w:val="left"/>
            </w:pPr>
            <w:r>
              <w:t xml:space="preserve">Remote with bi-weekly site visits</w:t>
            </w:r>
          </w:p>
        </w:tc>
      </w:tr>
      <w:tr>
        <w:tc>
          <w:tcPr/>
          <w:p>
            <w:pPr>
              <w:pStyle w:val="Compact"/>
              <w:jc w:val="left"/>
            </w:pPr>
            <w:r>
              <w:t xml:space="preserve">5</w:t>
            </w:r>
          </w:p>
        </w:tc>
        <w:tc>
          <w:tcPr/>
          <w:p>
            <w:pPr>
              <w:pStyle w:val="Compact"/>
              <w:jc w:val="left"/>
            </w:pPr>
            <w:r>
              <w:t xml:space="preserve">Project Manager – Stakeholder engagement, community liaison, and regulatory compliance reporting for Kenya Nairobi County</w:t>
            </w:r>
          </w:p>
        </w:tc>
        <w:tc>
          <w:tcPr/>
          <w:p>
            <w:pPr>
              <w:pStyle w:val="Compact"/>
              <w:jc w:val="left"/>
            </w:pPr>
            <w:r>
              <w:t xml:space="preserve">19 months</w:t>
            </w:r>
          </w:p>
        </w:tc>
        <w:tc>
          <w:tcPr/>
          <w:p>
            <w:pPr>
              <w:pStyle w:val="Compact"/>
              <w:jc w:val="left"/>
            </w:pPr>
            <w:r>
              <w:t xml:space="preserve">85,000 / month</w:t>
            </w:r>
          </w:p>
        </w:tc>
        <w:tc>
          <w:tcPr/>
          <w:p>
            <w:pPr>
              <w:pStyle w:val="Compact"/>
              <w:jc w:val="left"/>
            </w:pPr>
            <w:r>
              <w:t xml:space="preserve">1,615,000</w:t>
            </w:r>
          </w:p>
        </w:tc>
        <w:tc>
          <w:tcPr/>
          <w:p>
            <w:pPr>
              <w:pStyle w:val="Compact"/>
              <w:jc w:val="left"/>
            </w:pPr>
            <w:r>
              <w:t xml:space="preserve">Concurrent with Phases 1–3</w:t>
            </w:r>
          </w:p>
        </w:tc>
      </w:tr>
      <w:tr>
        <w:tc>
          <w:tcPr>
            <w:gridSpan w:val="4"/>
          </w:tcPr>
          <w:p>
            <w:pPr>
              <w:pStyle w:val="Compact"/>
              <w:jc w:val="right"/>
            </w:pPr>
            <w:r>
              <w:t xml:space="preserve">Subtotal (KES)</w:t>
            </w:r>
          </w:p>
        </w:tc>
        <w:tc>
          <w:tcPr/>
          <w:p>
            <w:pPr>
              <w:pStyle w:val="Compact"/>
              <w:jc w:val="left"/>
            </w:pPr>
            <w:r>
              <w:t xml:space="preserve">9,285,000</w:t>
            </w:r>
          </w:p>
        </w:tc>
        <w:tc>
          <w:tcPr/>
          <w:p>
            <w:pPr>
              <w:pStyle w:val="Compact"/>
            </w:pPr>
          </w:p>
        </w:tc>
      </w:tr>
      <w:tr>
        <w:tc>
          <w:tcPr>
            <w:gridSpan w:val="4"/>
          </w:tcPr>
          <w:p>
            <w:pPr>
              <w:pStyle w:val="Compact"/>
              <w:jc w:val="right"/>
            </w:pPr>
            <w:r>
              <w:t xml:space="preserve">VAT @ 16% (KES)</w:t>
            </w:r>
          </w:p>
        </w:tc>
        <w:tc>
          <w:tcPr/>
          <w:p>
            <w:pPr>
              <w:pStyle w:val="Compact"/>
              <w:jc w:val="left"/>
            </w:pPr>
            <w:r>
              <w:t xml:space="preserve">1,485,600</w:t>
            </w:r>
          </w:p>
        </w:tc>
        <w:tc>
          <w:tcPr/>
          <w:p>
            <w:pPr>
              <w:pStyle w:val="Compact"/>
            </w:pPr>
          </w:p>
        </w:tc>
      </w:tr>
      <w:tr>
        <w:tc>
          <w:tcPr>
            <w:gridSpan w:val="4"/>
          </w:tcPr>
          <w:p>
            <w:pPr>
              <w:pStyle w:val="Compact"/>
              <w:jc w:val="right"/>
            </w:pPr>
            <w:r>
              <w:t xml:space="preserve">TOTAL AMOUNT DUE (KES)</w:t>
            </w:r>
          </w:p>
        </w:tc>
        <w:tc>
          <w:tcPr/>
          <w:p>
            <w:pPr>
              <w:pStyle w:val="Compact"/>
              <w:jc w:val="left"/>
            </w:pPr>
            <w:r>
              <w:t xml:space="preserve">10,770,600</w:t>
            </w:r>
          </w:p>
        </w:tc>
        <w:tc>
          <w:tcPr/>
          <w:p>
            <w:pPr>
              <w:pStyle w:val="Compact"/>
            </w:pP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 supplier within five (5)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w:t>
      </w:r>
      <w:r>
        <w:t xml:space="preserve"> </w:t>
      </w:r>
      <w:r>
        <w:t xml:space="preserve">The</w:t>
      </w:r>
      <w:r>
        <w:t xml:space="preserve"> </w:t>
      </w:r>
      <w:r>
        <w:t xml:space="preserve">Project Manager</w:t>
      </w:r>
      <w:r>
        <w:t xml:space="preserve"> </w:t>
      </w:r>
      <w:r>
        <w:t xml:space="preserve">shall report for duty at the designated project site in Kenya Nairobi no later than 1 July 2025. A formal induction and site orientation will be conducted by Eastgate Infrastructure &amp; Development Ltd.</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days of receipt of a valid invoice, via bank transfer to the account specified in Section 1. All payments are subject to the terms of this</w:t>
      </w:r>
      <w:r>
        <w:t xml:space="preserve"> </w:t>
      </w:r>
      <w:r>
        <w:t xml:space="preserve">Purchase Order</w:t>
      </w:r>
      <w:r>
        <w:t xml:space="preserve">.</w:t>
      </w:r>
    </w:p>
    <w:p>
      <w:pPr>
        <w:numPr>
          <w:ilvl w:val="0"/>
          <w:numId w:val="1001"/>
        </w:numPr>
        <w:pStyle w:val="Compact"/>
      </w:pPr>
      <w:r>
        <w:rPr>
          <w:bCs/>
          <w:b/>
        </w:rPr>
        <w:t xml:space="preserve">Performance Bond:</w:t>
      </w:r>
      <w:r>
        <w:t xml:space="preserve"> </w:t>
      </w:r>
      <w:r>
        <w:t xml:space="preserve">The supplier shall provide a performance bond equivalent to 10% of the total</w:t>
      </w:r>
      <w:r>
        <w:t xml:space="preserve"> </w:t>
      </w:r>
      <w:r>
        <w:t xml:space="preserve">Purchase Order</w:t>
      </w:r>
      <w:r>
        <w:t xml:space="preserve"> </w:t>
      </w:r>
      <w:r>
        <w:t xml:space="preserve">value, issued by a Kenyan commercial bank, within ten (10) business days of acceptance.</w:t>
      </w:r>
    </w:p>
    <w:p>
      <w:pPr>
        <w:numPr>
          <w:ilvl w:val="0"/>
          <w:numId w:val="1001"/>
        </w:numPr>
        <w:pStyle w:val="Compact"/>
      </w:pPr>
      <w:r>
        <w:rPr>
          <w:bCs/>
          <w:b/>
        </w:rPr>
        <w:t xml:space="preserve">Qualifications:</w:t>
      </w:r>
      <w:r>
        <w:t xml:space="preserve"> </w:t>
      </w:r>
      <w:r>
        <w:t xml:space="preserve">The appointed</w:t>
      </w:r>
      <w:r>
        <w:t xml:space="preserve"> </w:t>
      </w:r>
      <w:r>
        <w:t xml:space="preserve">Project Manager</w:t>
      </w:r>
      <w:r>
        <w:t xml:space="preserve"> </w:t>
      </w:r>
      <w:r>
        <w:t xml:space="preserve">must hold a minimum of a Bachelor's degree in Civil Engineering or Construction Management, a PMP or PRINCE2 certification, and a minimum of ten (10) years of experience managing infrastructure projects in Kenya Nairobi or equivalent East African urban environments.</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the Kenya Building and Construction Authority (KBCA) regulations, the National Environment Management Authority (NEMA) guidelines, and all applicable Kenya Nairobi County by-laws.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Project Manager</w:t>
      </w:r>
      <w:r>
        <w:t xml:space="preserve"> </w:t>
      </w:r>
      <w:r>
        <w:t xml:space="preserve">shall deliver all project documentation, records, and work-in-progress reports to Eastgate Infrastructure &amp; Development Ltd. within seven (7)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mediation in Kenya Nairobi. If unresolved within thirty (30) days, the matter shall be referred to arbitration under the rules of the Chartered Institute of Arbitrators (Kenya Branch), Nairobi.</w:t>
      </w:r>
    </w:p>
    <w:p>
      <w:pPr>
        <w:numPr>
          <w:ilvl w:val="0"/>
          <w:numId w:val="1001"/>
        </w:numPr>
        <w:pStyle w:val="Compact"/>
      </w:pPr>
      <w:r>
        <w:rPr>
          <w:bCs/>
          <w:b/>
        </w:rPr>
        <w:t xml:space="preserve">Confidentiality:</w:t>
      </w:r>
      <w:r>
        <w:t xml:space="preserve"> </w:t>
      </w:r>
      <w:r>
        <w:t xml:space="preserve">The</w:t>
      </w:r>
      <w:r>
        <w:t xml:space="preserve"> </w:t>
      </w:r>
      <w:r>
        <w:t xml:space="preserve">Project Manager</w:t>
      </w:r>
      <w:r>
        <w:t xml:space="preserve"> </w:t>
      </w:r>
      <w:r>
        <w:t xml:space="preserve">and the supplier shall treat all project data, financial records, and proprietary information as strictly confidential for a period of five (5) years following project completion.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Kenya.</w:t>
      </w:r>
    </w:p>
    <w:p>
      <w:pPr>
        <w:pStyle w:val="FirstParagraph"/>
      </w:pPr>
      <w:r>
        <w:t xml:space="preserve">5. Authorisation and Signatures</w:t>
      </w:r>
    </w:p>
    <w:p>
      <w:pPr>
        <w:pStyle w:val="BodyText"/>
      </w:pPr>
      <w:r>
        <w:rPr>
          <w:bCs/>
          <w:b/>
        </w:rPr>
        <w:t xml:space="preserve">For and on behalf of Eastgate Infrastructure &amp; Development Ltd. (Buyer):</w:t>
      </w:r>
    </w:p>
    <w:p>
      <w:pPr>
        <w:pStyle w:val="BodyText"/>
      </w:pPr>
      <w:r>
        <w:t xml:space="preserve">Name:</w:t>
      </w:r>
      <w:r>
        <w:t xml:space="preserve"> </w:t>
      </w:r>
      <w:r>
        <w:rPr>
          <w:bCs/>
          <w:b/>
        </w:rPr>
        <w:t xml:space="preserve">Grace Wanjiku Kamau</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Apex Project Management Consultancy (K) Ltd. (Supplier):</w:t>
      </w:r>
    </w:p>
    <w:p>
      <w:pPr>
        <w:pStyle w:val="BodyText"/>
      </w:pPr>
      <w:r>
        <w:t xml:space="preserve">Name:</w:t>
      </w:r>
      <w:r>
        <w:t xml:space="preserve"> </w:t>
      </w:r>
      <w:r>
        <w:rPr>
          <w:bCs/>
          <w:b/>
        </w:rPr>
        <w:t xml:space="preserve">David Mwangi</w:t>
      </w:r>
      <w:r>
        <w:br/>
      </w:r>
      <w:r>
        <w:t xml:space="preserve">Title: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(PO-ENB-2025-00847) is issued in duplicate. One copy is retained by Eastgate Infrastructure &amp; Development Ltd., Kenya Nairobi, and one copy is issued to the supplier. This document constitutes a legally binding procurement instrument for the engagement of</w:t>
      </w:r>
      <w:r>
        <w:t xml:space="preserve"> </w:t>
      </w:r>
      <w:r>
        <w:t xml:space="preserve">Project Manager</w:t>
      </w:r>
      <w:r>
        <w:t xml:space="preserve"> </w:t>
      </w:r>
      <w:r>
        <w:t xml:space="preserve">services for the Nairobi West Corridor Road Rehabilitation Project.</w:t>
      </w:r>
    </w:p>
    <w:p>
      <w:pPr>
        <w:pStyle w:val="BodyText"/>
      </w:pPr>
      <w:r>
        <w:t xml:space="preserve">Document Ref: PO-ENB-2025-00847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Kenya Nairobi</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