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Kuwait</w:t>
      </w:r>
      <w:r>
        <w:t xml:space="preserve"> </w:t>
      </w:r>
      <w:r>
        <w:t xml:space="preserve">Kuwait</w:t>
      </w:r>
      <w:r>
        <w:t xml:space="preserve"> </w:t>
      </w:r>
      <w:r>
        <w:t xml:space="preserve">City</w:t>
      </w:r>
    </w:p>
    <w:bookmarkStart w:id="20" w:name="purchase-order"/>
    <w:p>
      <w:pPr>
        <w:pStyle w:val="Heading1"/>
      </w:pPr>
      <w:r>
        <w:t xml:space="preserve">PURCHASE ORDER</w:t>
      </w:r>
    </w:p>
    <w:p>
      <w:pPr>
        <w:pStyle w:val="FirstParagraph"/>
      </w:pPr>
      <w:r>
        <w:t xml:space="preserve">Al-Nakheel Construction &amp; Development W.L.L.</w:t>
      </w:r>
    </w:p>
    <w:p>
      <w:pPr>
        <w:pStyle w:val="BodyText"/>
      </w:pPr>
      <w:r>
        <w:t xml:space="preserve">Commercial Street, Salmiya, Kuwait Kuwait City, State of Kuwait</w:t>
      </w:r>
    </w:p>
    <w:p>
      <w:pPr>
        <w:pStyle w:val="BodyText"/>
      </w:pPr>
      <w:r>
        <w:t xml:space="preserve">C.R. No: 123456 | Tax ID: 000123456-7000 | Phone: +965-2244-5566</w:t>
      </w:r>
    </w:p>
    <w:bookmarkEnd w:id="20"/>
    <w:p>
      <w:pPr>
        <w:pStyle w:val="BodyText"/>
      </w:pPr>
      <w:r>
        <w:rPr>
          <w:bCs/>
          <w:b/>
        </w:rPr>
        <w:t xml:space="preserve">Purchase Order No.:</w:t>
      </w:r>
      <w:r>
        <w:t xml:space="preserve"> </w:t>
      </w:r>
      <w:r>
        <w:t xml:space="preserve">PO-KWT-2025-00847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Project Reference:</w:t>
      </w:r>
      <w:r>
        <w:t xml:space="preserve"> </w:t>
      </w:r>
      <w:r>
        <w:t xml:space="preserve">KWC-PM-2025-031</w:t>
      </w:r>
      <w:r>
        <w:br/>
      </w:r>
      <w:r>
        <w:rPr>
          <w:bCs/>
          <w:b/>
        </w:rPr>
        <w:t xml:space="preserve">Location of Work:</w:t>
      </w:r>
      <w:r>
        <w:t xml:space="preserve"> </w:t>
      </w:r>
      <w:r>
        <w:t xml:space="preserve">Kuwait Kuwait City</w:t>
      </w:r>
      <w:r>
        <w:br/>
      </w:r>
      <w:r>
        <w:rPr>
          <w:bCs/>
          <w:b/>
        </w:rPr>
        <w:t xml:space="preserve">Currency:</w:t>
      </w:r>
      <w:r>
        <w:t xml:space="preserve"> </w:t>
      </w:r>
      <w:r>
        <w:t xml:space="preserve">Kuwaiti Dinar (KWD)</w:t>
      </w:r>
    </w:p>
    <w:p>
      <w:pPr>
        <w:pStyle w:val="BodyText"/>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(Issuing Party)</w:t>
            </w:r>
          </w:p>
        </w:tc>
        <w:tc>
          <w:tcPr/>
          <w:p>
            <w:pPr>
              <w:pStyle w:val="Compact"/>
              <w:jc w:val="left"/>
            </w:pPr>
            <w:r>
              <w:t xml:space="preserve">Supplier (Service Provider)</w:t>
            </w:r>
          </w:p>
        </w:tc>
      </w:tr>
      <w:tr>
        <w:tc>
          <w:tcPr/>
          <w:p>
            <w:pPr>
              <w:pStyle w:val="Compact"/>
              <w:jc w:val="left"/>
            </w:pPr>
            <w:r>
              <w:rPr>
                <w:bCs/>
                <w:b/>
              </w:rPr>
              <w:t xml:space="preserve">Al-Nakheel Construction &amp; Development W.L.L.</w:t>
            </w:r>
            <w:r>
              <w:br/>
            </w:r>
            <w:r>
              <w:t xml:space="preserve">Office 12, Al-Salem Tower</w:t>
            </w:r>
            <w:r>
              <w:br/>
            </w:r>
            <w:r>
              <w:t xml:space="preserve">Commercial Street, Salmiya</w:t>
            </w:r>
            <w:r>
              <w:br/>
            </w:r>
            <w:r>
              <w:t xml:space="preserve">Kuwait Kuwait City, State of Kuwait</w:t>
            </w:r>
            <w:r>
              <w:br/>
            </w:r>
            <w:r>
              <w:t xml:space="preserve">Contact: Mr. Fahad Al-Sabah (Procurement Director)</w:t>
            </w:r>
            <w:r>
              <w:br/>
            </w:r>
            <w:r>
              <w:t xml:space="preserve">Email: procurement@alnakheel-kw.com</w:t>
            </w:r>
          </w:p>
        </w:tc>
        <w:tc>
          <w:tcPr/>
          <w:p>
            <w:pPr>
              <w:pStyle w:val="Compact"/>
              <w:jc w:val="left"/>
            </w:pPr>
            <w:r>
              <w:rPr>
                <w:bCs/>
                <w:b/>
              </w:rPr>
              <w:t xml:space="preserve">Global Project Management Solutions FZE</w:t>
            </w:r>
            <w:r>
              <w:br/>
            </w:r>
            <w:r>
              <w:t xml:space="preserve">Suite 402, Business Bay</w:t>
            </w:r>
            <w:r>
              <w:br/>
            </w:r>
            <w:r>
              <w:t xml:space="preserve">Kuwait Kuwait City, State of Kuwait</w:t>
            </w:r>
            <w:r>
              <w:br/>
            </w:r>
            <w:r>
              <w:t xml:space="preserve">Contact: Ms. Layla Al-Mutawa (Account Director)</w:t>
            </w:r>
            <w:r>
              <w:br/>
            </w:r>
            <w:r>
              <w:t xml:space="preserve">Email: accounts@gpmsolutions-kw.com</w:t>
            </w:r>
          </w:p>
        </w:tc>
      </w:tr>
    </w:tbl>
    <w:p>
      <w:pPr>
        <w:pStyle w:val="BodyText"/>
      </w:pPr>
      <w:r>
        <w:t xml:space="preserve">2. DESCRIPTION OF SERVICES – PROJECT MANAGER ENGAGEMENT</w:t>
      </w:r>
    </w:p>
    <w:p>
      <w:pPr>
        <w:pStyle w:val="BodyText"/>
      </w:pPr>
      <w:r>
        <w:t xml:space="preserve">This</w:t>
      </w:r>
      <w:r>
        <w:t xml:space="preserve"> </w:t>
      </w:r>
      <w:r>
        <w:t xml:space="preserve">Purchase Order</w:t>
      </w:r>
      <w:r>
        <w:t xml:space="preserve"> </w:t>
      </w:r>
      <w:r>
        <w:t xml:space="preserve">is issued by Al-Nakheel Construction &amp; Development W.L.L. to formally engage the services of a qualified</w:t>
      </w:r>
      <w:r>
        <w:t xml:space="preserve"> </w:t>
      </w:r>
      <w:r>
        <w:t xml:space="preserve">Project Manager</w:t>
      </w:r>
      <w:r>
        <w:t xml:space="preserve"> </w:t>
      </w:r>
      <w:r>
        <w:t xml:space="preserve">for the duration of the "Kuwait City Mixed-Use Commercial Development" project. The</w:t>
      </w:r>
      <w:r>
        <w:t xml:space="preserve"> </w:t>
      </w:r>
      <w:r>
        <w:t xml:space="preserve">Project Manager</w:t>
      </w:r>
      <w:r>
        <w:t xml:space="preserve"> </w:t>
      </w:r>
      <w:r>
        <w:t xml:space="preserve">shall be physically stationed at the project site located in</w:t>
      </w:r>
      <w:r>
        <w:t xml:space="preserve"> </w:t>
      </w:r>
      <w:r>
        <w:t xml:space="preserve">Kuwait Kuwait City</w:t>
      </w:r>
      <w:r>
        <w:t xml:space="preserve"> </w:t>
      </w:r>
      <w:r>
        <w:t xml:space="preserve">and shall report directly to the Buyer's Chief Executive Officer. The scope of engagement, deliverables, and professional obligations are detailed in the line items below.</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(KWD)</w:t>
            </w:r>
          </w:p>
        </w:tc>
        <w:tc>
          <w:tcPr/>
          <w:p>
            <w:pPr>
              <w:pStyle w:val="Compact"/>
              <w:jc w:val="left"/>
            </w:pPr>
            <w:r>
              <w:t xml:space="preserve">Amount (KWD)</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Engagement of a PMP-certified</w:t>
            </w:r>
            <w:r>
              <w:t xml:space="preserve"> </w:t>
            </w:r>
            <w:r>
              <w:rPr>
                <w:bCs/>
                <w:b/>
              </w:rPr>
              <w:t xml:space="preserve">Project Manager</w:t>
            </w:r>
            <w:r>
              <w:t xml:space="preserve"> </w:t>
            </w:r>
            <w:r>
              <w:t xml:space="preserve">to oversee end-to-end delivery of the Kuwait City Mixed-Use Commercial Development, including planning, scheduling, budgeting, risk management, and stakeholder coordination. The</w:t>
            </w:r>
            <w:r>
              <w:t xml:space="preserve"> </w:t>
            </w:r>
            <w:r>
              <w:rPr>
                <w:bCs/>
                <w:b/>
              </w:rPr>
              <w:t xml:space="preserve">Project Manager</w:t>
            </w:r>
            <w:r>
              <w:t xml:space="preserve"> </w:t>
            </w:r>
            <w:r>
              <w:t xml:space="preserve">shall maintain a permanent office at the project headquarters in</w:t>
            </w:r>
            <w:r>
              <w:t xml:space="preserve"> </w:t>
            </w:r>
            <w:r>
              <w:rPr>
                <w:bCs/>
                <w:b/>
              </w:rPr>
              <w:t xml:space="preserve">Kuwait Kuwait City</w:t>
            </w:r>
            <w:r>
              <w:t xml:space="preserve">.</w:t>
            </w:r>
          </w:p>
        </w:tc>
        <w:tc>
          <w:tcPr/>
          <w:p>
            <w:pPr>
              <w:pStyle w:val="Compact"/>
              <w:jc w:val="left"/>
            </w:pPr>
            <w:r>
              <w:t xml:space="preserve">24 months</w:t>
            </w:r>
          </w:p>
        </w:tc>
        <w:tc>
          <w:tcPr/>
          <w:p>
            <w:pPr>
              <w:pStyle w:val="Compact"/>
              <w:jc w:val="left"/>
            </w:pPr>
            <w:r>
              <w:t xml:space="preserve">4,500.000 / month</w:t>
            </w:r>
          </w:p>
        </w:tc>
        <w:tc>
          <w:tcPr/>
          <w:p>
            <w:pPr>
              <w:pStyle w:val="Compact"/>
              <w:jc w:val="left"/>
            </w:pPr>
            <w:r>
              <w:t xml:space="preserve">108,000.000</w:t>
            </w:r>
          </w:p>
        </w:tc>
        <w:tc>
          <w:tcPr/>
          <w:p>
            <w:pPr>
              <w:pStyle w:val="Compact"/>
              <w:jc w:val="left"/>
            </w:pPr>
            <w:r>
              <w:t xml:space="preserve">Full-time, on-site in Kuwait Kuwait City</w:t>
            </w:r>
          </w:p>
        </w:tc>
      </w:tr>
      <w:tr>
        <w:tc>
          <w:tcPr/>
          <w:p>
            <w:pPr>
              <w:pStyle w:val="Compact"/>
              <w:jc w:val="left"/>
            </w:pPr>
            <w:r>
              <w:t xml:space="preserve">2</w:t>
            </w:r>
          </w:p>
        </w:tc>
        <w:tc>
          <w:tcPr/>
          <w:p>
            <w:pPr>
              <w:pStyle w:val="Compact"/>
              <w:jc w:val="left"/>
            </w:pPr>
            <w:r>
              <w:t xml:space="preserve">Provision of a dedicated</w:t>
            </w:r>
            <w:r>
              <w:t xml:space="preserve"> </w:t>
            </w:r>
            <w:r>
              <w:rPr>
                <w:bCs/>
                <w:b/>
              </w:rPr>
              <w:t xml:space="preserve">Project Manager</w:t>
            </w:r>
            <w:r>
              <w:t xml:space="preserve"> </w:t>
            </w:r>
            <w:r>
              <w:t xml:space="preserve">team assistant and administrative support to ensure seamless coordination with municipal authorities, contractors, and regulatory bodies within</w:t>
            </w:r>
            <w:r>
              <w:t xml:space="preserve"> </w:t>
            </w:r>
            <w:r>
              <w:rPr>
                <w:bCs/>
                <w:b/>
              </w:rPr>
              <w:t xml:space="preserve">Kuwait Kuwait City</w:t>
            </w:r>
            <w:r>
              <w:t xml:space="preserve">.</w:t>
            </w:r>
          </w:p>
        </w:tc>
        <w:tc>
          <w:tcPr/>
          <w:p>
            <w:pPr>
              <w:pStyle w:val="Compact"/>
              <w:jc w:val="left"/>
            </w:pPr>
            <w:r>
              <w:t xml:space="preserve">24 months</w:t>
            </w:r>
          </w:p>
        </w:tc>
        <w:tc>
          <w:tcPr/>
          <w:p>
            <w:pPr>
              <w:pStyle w:val="Compact"/>
              <w:jc w:val="left"/>
            </w:pPr>
            <w:r>
              <w:t xml:space="preserve">1,200.000 / month</w:t>
            </w:r>
          </w:p>
        </w:tc>
        <w:tc>
          <w:tcPr/>
          <w:p>
            <w:pPr>
              <w:pStyle w:val="Compact"/>
              <w:jc w:val="left"/>
            </w:pPr>
            <w:r>
              <w:t xml:space="preserve">28,800.000</w:t>
            </w:r>
          </w:p>
        </w:tc>
        <w:tc>
          <w:tcPr/>
          <w:p>
            <w:pPr>
              <w:pStyle w:val="Compact"/>
              <w:jc w:val="left"/>
            </w:pPr>
            <w:r>
              <w:t xml:space="preserve">Supports the primary Project Manager</w:t>
            </w:r>
          </w:p>
        </w:tc>
      </w:tr>
      <w:tr>
        <w:tc>
          <w:tcPr/>
          <w:p>
            <w:pPr>
              <w:pStyle w:val="Compact"/>
              <w:jc w:val="left"/>
            </w:pPr>
            <w:r>
              <w:t xml:space="preserve">3</w:t>
            </w:r>
          </w:p>
        </w:tc>
        <w:tc>
          <w:tcPr/>
          <w:p>
            <w:pPr>
              <w:pStyle w:val="Compact"/>
              <w:jc w:val="left"/>
            </w:pPr>
            <w:r>
              <w:t xml:space="preserve">Development and maintenance of the master project schedule, critical path analysis, and monthly progress reports to be submitted to the Buyer's board. All documentation shall reference the project location in</w:t>
            </w:r>
            <w:r>
              <w:t xml:space="preserve"> </w:t>
            </w:r>
            <w:r>
              <w:rPr>
                <w:bCs/>
                <w:b/>
              </w:rPr>
              <w:t xml:space="preserve">Kuwait Kuwait City</w:t>
            </w:r>
            <w:r>
              <w:t xml:space="preserve"> </w:t>
            </w:r>
            <w:r>
              <w:t xml:space="preserve">and comply with Kuwaiti building codes.</w:t>
            </w:r>
          </w:p>
        </w:tc>
        <w:tc>
          <w:tcPr/>
          <w:p>
            <w:pPr>
              <w:pStyle w:val="Compact"/>
              <w:jc w:val="left"/>
            </w:pPr>
            <w:r>
              <w:t xml:space="preserve">24 months</w:t>
            </w:r>
          </w:p>
        </w:tc>
        <w:tc>
          <w:tcPr/>
          <w:p>
            <w:pPr>
              <w:pStyle w:val="Compact"/>
              <w:jc w:val="left"/>
            </w:pPr>
            <w:r>
              <w:t xml:space="preserve">800.000 / month</w:t>
            </w:r>
          </w:p>
        </w:tc>
        <w:tc>
          <w:tcPr/>
          <w:p>
            <w:pPr>
              <w:pStyle w:val="Compact"/>
              <w:jc w:val="left"/>
            </w:pPr>
            <w:r>
              <w:t xml:space="preserve">19,200.000</w:t>
            </w:r>
          </w:p>
        </w:tc>
        <w:tc>
          <w:tcPr/>
          <w:p>
            <w:pPr>
              <w:pStyle w:val="Compact"/>
              <w:jc w:val="left"/>
            </w:pPr>
            <w:r>
              <w:t xml:space="preserve">Includes software licensing (MS Project, Primavera)</w:t>
            </w:r>
          </w:p>
        </w:tc>
      </w:tr>
      <w:tr>
        <w:tc>
          <w:tcPr/>
          <w:p>
            <w:pPr>
              <w:pStyle w:val="Compact"/>
              <w:jc w:val="left"/>
            </w:pPr>
            <w:r>
              <w:t xml:space="preserve">4</w:t>
            </w:r>
          </w:p>
        </w:tc>
        <w:tc>
          <w:tcPr/>
          <w:p>
            <w:pPr>
              <w:pStyle w:val="Compact"/>
              <w:jc w:val="left"/>
            </w:pPr>
            <w:r>
              <w:t xml:space="preserve">Conduct of bi-weekly site inspections and quality assurance audits at the construction site in</w:t>
            </w:r>
            <w:r>
              <w:t xml:space="preserve"> </w:t>
            </w:r>
            <w:r>
              <w:rPr>
                <w:bCs/>
                <w:b/>
              </w:rPr>
              <w:t xml:space="preserve">Kuwait Kuwait City</w:t>
            </w:r>
            <w:r>
              <w:t xml:space="preserve">. The</w:t>
            </w:r>
            <w:r>
              <w:t xml:space="preserve"> </w:t>
            </w:r>
            <w:r>
              <w:rPr>
                <w:bCs/>
                <w:b/>
              </w:rPr>
              <w:t xml:space="preserve">Project Manager</w:t>
            </w:r>
            <w:r>
              <w:t xml:space="preserve"> </w:t>
            </w:r>
            <w:r>
              <w:t xml:space="preserve">shall issue non-conformance reports and corrective action plans within 48 hours of each inspection.</w:t>
            </w:r>
          </w:p>
        </w:tc>
        <w:tc>
          <w:tcPr/>
          <w:p>
            <w:pPr>
              <w:pStyle w:val="Compact"/>
              <w:jc w:val="left"/>
            </w:pPr>
            <w:r>
              <w:t xml:space="preserve">24 months</w:t>
            </w:r>
          </w:p>
        </w:tc>
        <w:tc>
          <w:tcPr/>
          <w:p>
            <w:pPr>
              <w:pStyle w:val="Compact"/>
              <w:jc w:val="left"/>
            </w:pPr>
            <w:r>
              <w:t xml:space="preserve">600.000 / month</w:t>
            </w:r>
          </w:p>
        </w:tc>
        <w:tc>
          <w:tcPr/>
          <w:p>
            <w:pPr>
              <w:pStyle w:val="Compact"/>
              <w:jc w:val="left"/>
            </w:pPr>
            <w:r>
              <w:t xml:space="preserve">14,400.000</w:t>
            </w:r>
          </w:p>
        </w:tc>
        <w:tc>
          <w:tcPr/>
          <w:p>
            <w:pPr>
              <w:pStyle w:val="Compact"/>
              <w:jc w:val="left"/>
            </w:pPr>
            <w:r>
              <w:t xml:space="preserve">Travel within Kuwait Kuwait City included</w:t>
            </w:r>
          </w:p>
        </w:tc>
      </w:tr>
      <w:tr>
        <w:tc>
          <w:tcPr/>
          <w:p>
            <w:pPr>
              <w:pStyle w:val="Compact"/>
              <w:jc w:val="left"/>
            </w:pPr>
            <w:r>
              <w:t xml:space="preserve">5</w:t>
            </w:r>
          </w:p>
        </w:tc>
        <w:tc>
          <w:tcPr/>
          <w:p>
            <w:pPr>
              <w:pStyle w:val="Compact"/>
              <w:jc w:val="left"/>
            </w:pPr>
            <w:r>
              <w:t xml:space="preserve">Vendor and subcontractor procurement management on behalf of the Buyer. The</w:t>
            </w:r>
            <w:r>
              <w:t xml:space="preserve"> </w:t>
            </w:r>
            <w:r>
              <w:rPr>
                <w:bCs/>
                <w:b/>
              </w:rPr>
              <w:t xml:space="preserve">Project Manager</w:t>
            </w:r>
            <w:r>
              <w:t xml:space="preserve"> </w:t>
            </w:r>
            <w:r>
              <w:t xml:space="preserve">shall issue and track all sub-purchase orders, negotiate contracts, and ensure compliance with Kuwaiti labor and commercial law as applicable in</w:t>
            </w:r>
            <w:r>
              <w:t xml:space="preserve"> </w:t>
            </w:r>
            <w:r>
              <w:rPr>
                <w:bCs/>
                <w:b/>
              </w:rPr>
              <w:t xml:space="preserve">Kuwait Kuwait City</w:t>
            </w:r>
            <w:r>
              <w:t xml:space="preserve">.</w:t>
            </w:r>
          </w:p>
        </w:tc>
        <w:tc>
          <w:tcPr/>
          <w:p>
            <w:pPr>
              <w:pStyle w:val="Compact"/>
              <w:jc w:val="left"/>
            </w:pPr>
            <w:r>
              <w:t xml:space="preserve">24 months</w:t>
            </w:r>
          </w:p>
        </w:tc>
        <w:tc>
          <w:tcPr/>
          <w:p>
            <w:pPr>
              <w:pStyle w:val="Compact"/>
              <w:jc w:val="left"/>
            </w:pPr>
            <w:r>
              <w:t xml:space="preserve">1,000.000 / month</w:t>
            </w:r>
          </w:p>
        </w:tc>
        <w:tc>
          <w:tcPr/>
          <w:p>
            <w:pPr>
              <w:pStyle w:val="Compact"/>
              <w:jc w:val="left"/>
            </w:pPr>
            <w:r>
              <w:t xml:space="preserve">24,000.000</w:t>
            </w:r>
          </w:p>
        </w:tc>
        <w:tc>
          <w:tcPr/>
          <w:p>
            <w:pPr>
              <w:pStyle w:val="Compact"/>
              <w:jc w:val="left"/>
            </w:pPr>
            <w:r>
              <w:t xml:space="preserve">Includes vendor evaluation reports</w:t>
            </w:r>
          </w:p>
        </w:tc>
      </w:tr>
      <w:tr>
        <w:tc>
          <w:tcPr>
            <w:gridSpan w:val="4"/>
          </w:tcPr>
          <w:p>
            <w:pPr>
              <w:pStyle w:val="Compact"/>
              <w:jc w:val="right"/>
            </w:pPr>
            <w:r>
              <w:t xml:space="preserve">TOTAL CONTRACT VALUE</w:t>
            </w:r>
          </w:p>
        </w:tc>
        <w:tc>
          <w:tcPr/>
          <w:p>
            <w:pPr>
              <w:pStyle w:val="Compact"/>
              <w:jc w:val="left"/>
            </w:pPr>
            <w:r>
              <w:t xml:space="preserve">194,400.000 KWD</w:t>
            </w:r>
          </w:p>
        </w:tc>
        <w:tc>
          <w:tcPr/>
          <w:p>
            <w:pPr>
              <w:pStyle w:val="Compact"/>
              <w:jc w:val="left"/>
            </w:pPr>
            <w:r>
              <w:t xml:space="preserve">Excluding 5% VAT</w:t>
            </w:r>
          </w:p>
        </w:tc>
      </w:tr>
      <w:tr>
        <w:tc>
          <w:tcPr>
            <w:gridSpan w:val="4"/>
          </w:tcPr>
          <w:p>
            <w:pPr>
              <w:pStyle w:val="Compact"/>
              <w:jc w:val="right"/>
            </w:pPr>
            <w:r>
              <w:t xml:space="preserve">VAT (5%)</w:t>
            </w:r>
          </w:p>
        </w:tc>
        <w:tc>
          <w:tcPr/>
          <w:p>
            <w:pPr>
              <w:pStyle w:val="Compact"/>
              <w:jc w:val="left"/>
            </w:pPr>
            <w:r>
              <w:t xml:space="preserve">9,720.000 KWD</w:t>
            </w:r>
          </w:p>
        </w:tc>
        <w:tc>
          <w:tcPr/>
          <w:p>
            <w:pPr>
              <w:pStyle w:val="Compact"/>
              <w:jc w:val="left"/>
            </w:pPr>
            <w:r>
              <w:t xml:space="preserve">As per Kuwaiti tax regulations</w:t>
            </w:r>
          </w:p>
        </w:tc>
      </w:tr>
      <w:tr>
        <w:tc>
          <w:tcPr>
            <w:gridSpan w:val="4"/>
          </w:tcPr>
          <w:p>
            <w:pPr>
              <w:pStyle w:val="Compact"/>
              <w:jc w:val="right"/>
            </w:pPr>
            <w:r>
              <w:t xml:space="preserve">GRAND TOTAL</w:t>
            </w:r>
          </w:p>
        </w:tc>
        <w:tc>
          <w:tcPr/>
          <w:p>
            <w:pPr>
              <w:pStyle w:val="Compact"/>
              <w:jc w:val="left"/>
            </w:pPr>
            <w:r>
              <w:t xml:space="preserve">204,120.000 KWD</w:t>
            </w:r>
          </w:p>
        </w:tc>
        <w:tc>
          <w:tcPr/>
          <w:p>
            <w:pPr>
              <w:pStyle w:val="Compact"/>
              <w:jc w:val="left"/>
            </w:pPr>
            <w:r>
              <w:t xml:space="preserve">Payable in Kuwaiti Dinars</w:t>
            </w:r>
          </w:p>
        </w:tc>
      </w:tr>
    </w:tbl>
    <w:p>
      <w:pPr>
        <w:pStyle w:val="BodyText"/>
      </w:pPr>
      <w:r>
        <w:t xml:space="preserve">3. TERMS AND CONDITIONS</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State of Kuwait. Any disputes arising from this</w:t>
      </w:r>
      <w:r>
        <w:t xml:space="preserve"> </w:t>
      </w:r>
      <w:r>
        <w:t xml:space="preserve">Purchase Order</w:t>
      </w:r>
      <w:r>
        <w:t xml:space="preserve"> </w:t>
      </w:r>
      <w:r>
        <w:t xml:space="preserve">shall be resolved through the competent courts in</w:t>
      </w:r>
      <w:r>
        <w:t xml:space="preserve"> </w:t>
      </w:r>
      <w:r>
        <w:t xml:space="preserve">Kuwait Kuwait City</w:t>
      </w:r>
      <w:r>
        <w:t xml:space="preserve">.</w:t>
      </w:r>
    </w:p>
    <w:p>
      <w:pPr>
        <w:numPr>
          <w:ilvl w:val="0"/>
          <w:numId w:val="1001"/>
        </w:numPr>
        <w:pStyle w:val="Compact"/>
      </w:pPr>
      <w:r>
        <w:rPr>
          <w:bCs/>
          <w:b/>
        </w:rPr>
        <w:t xml:space="preserve">Payment Terms:</w:t>
      </w:r>
      <w:r>
        <w:t xml:space="preserve"> </w:t>
      </w:r>
      <w:r>
        <w:t xml:space="preserve">Payment shall be made on a monthly basis within thirty (30) calendar days of receipt of a valid invoice from the Supplier. Invoices must reference this</w:t>
      </w:r>
      <w:r>
        <w:t xml:space="preserve"> </w:t>
      </w:r>
      <w:r>
        <w:t xml:space="preserve">Purchase Order</w:t>
      </w:r>
      <w:r>
        <w:t xml:space="preserve"> </w:t>
      </w:r>
      <w:r>
        <w:t xml:space="preserve">number (PO-KWT-2025-00847) and the project reference (KWC-PM-2025-031). All payments shall be made in Kuwaiti Dinars (KWD) via bank transfer to the Supplier's designated account in</w:t>
      </w:r>
      <w:r>
        <w:t xml:space="preserve"> </w:t>
      </w:r>
      <w:r>
        <w:t xml:space="preserve">Kuwait Kuwait City</w:t>
      </w:r>
      <w:r>
        <w:t xml:space="preserve">.</w:t>
      </w:r>
    </w:p>
    <w:p>
      <w:pPr>
        <w:numPr>
          <w:ilvl w:val="0"/>
          <w:numId w:val="1001"/>
        </w:numPr>
        <w:pStyle w:val="Compact"/>
      </w:pPr>
      <w:r>
        <w:rPr>
          <w:bCs/>
          <w:b/>
        </w:rPr>
        <w:t xml:space="preserve">Project Manager Qualifications:</w:t>
      </w:r>
      <w:r>
        <w:t xml:space="preserve"> </w:t>
      </w:r>
      <w:r>
        <w:t xml:space="preserve">The</w:t>
      </w:r>
      <w:r>
        <w:t xml:space="preserve"> </w:t>
      </w:r>
      <w:r>
        <w:t xml:space="preserve">Project Manager</w:t>
      </w:r>
      <w:r>
        <w:t xml:space="preserve"> </w:t>
      </w:r>
      <w:r>
        <w:t xml:space="preserve">engaged under this</w:t>
      </w:r>
      <w:r>
        <w:t xml:space="preserve"> </w:t>
      </w:r>
      <w:r>
        <w:t xml:space="preserve">Purchase Order</w:t>
      </w:r>
      <w:r>
        <w:t xml:space="preserve"> </w:t>
      </w:r>
      <w:r>
        <w:t xml:space="preserve">must hold a minimum of ten (10) years of experience in large-scale commercial construction projects, possess a PMP or PRINCE2 certification, and demonstrate prior experience managing projects in</w:t>
      </w:r>
      <w:r>
        <w:t xml:space="preserve"> </w:t>
      </w:r>
      <w:r>
        <w:t xml:space="preserve">Kuwait Kuwait City</w:t>
      </w:r>
      <w:r>
        <w:t xml:space="preserve"> </w:t>
      </w:r>
      <w:r>
        <w:t xml:space="preserve">or the GCC region. The Buyer reserves the right to reject and request replacement of the</w:t>
      </w:r>
      <w:r>
        <w:t xml:space="preserve"> </w:t>
      </w:r>
      <w:r>
        <w:t xml:space="preserve">Project Manager</w:t>
      </w:r>
      <w:r>
        <w:t xml:space="preserve"> </w:t>
      </w:r>
      <w:r>
        <w:t xml:space="preserve">within the first sixty (60) days if performance is unsatisfactory.</w:t>
      </w:r>
    </w:p>
    <w:p>
      <w:pPr>
        <w:numPr>
          <w:ilvl w:val="0"/>
          <w:numId w:val="1001"/>
        </w:numPr>
        <w:pStyle w:val="Compact"/>
      </w:pPr>
      <w:r>
        <w:rPr>
          <w:bCs/>
          <w:b/>
        </w:rPr>
        <w:t xml:space="preserve">Work Location:</w:t>
      </w:r>
      <w:r>
        <w:t xml:space="preserve"> </w:t>
      </w:r>
      <w:r>
        <w:t xml:space="preserve">The primary and mandatory work location for the</w:t>
      </w:r>
      <w:r>
        <w:t xml:space="preserve"> </w:t>
      </w:r>
      <w:r>
        <w:t xml:space="preserve">Project Manager</w:t>
      </w:r>
      <w:r>
        <w:t xml:space="preserve"> </w:t>
      </w:r>
      <w:r>
        <w:t xml:space="preserve">shall be the project site and the Buyer's office in</w:t>
      </w:r>
      <w:r>
        <w:t xml:space="preserve"> </w:t>
      </w:r>
      <w:r>
        <w:t xml:space="preserve">Kuwait Kuwait City</w:t>
      </w:r>
      <w:r>
        <w:t xml:space="preserve">. The</w:t>
      </w:r>
      <w:r>
        <w:t xml:space="preserve"> </w:t>
      </w:r>
      <w:r>
        <w:t xml:space="preserve">Project Manager</w:t>
      </w:r>
      <w:r>
        <w:t xml:space="preserve"> </w:t>
      </w:r>
      <w:r>
        <w:t xml:space="preserve">is required to be present on-site a minimum of five (5) days per week, Monday through Friday, in accordance with Kuwaiti working hours.</w:t>
      </w:r>
    </w:p>
    <w:p>
      <w:pPr>
        <w:numPr>
          <w:ilvl w:val="0"/>
          <w:numId w:val="1001"/>
        </w:numPr>
        <w:pStyle w:val="Compact"/>
      </w:pPr>
      <w:r>
        <w:rPr>
          <w:bCs/>
          <w:b/>
        </w:rPr>
        <w:t xml:space="preserve">Confidentiality:</w:t>
      </w:r>
      <w:r>
        <w:t xml:space="preserve"> </w:t>
      </w:r>
      <w:r>
        <w:t xml:space="preserve">The Supplier and the</w:t>
      </w:r>
      <w:r>
        <w:t xml:space="preserve"> </w:t>
      </w:r>
      <w:r>
        <w:t xml:space="preserve">Project Manager</w:t>
      </w:r>
      <w:r>
        <w:t xml:space="preserve"> </w:t>
      </w:r>
      <w:r>
        <w:t xml:space="preserve">shall maintain strict confidentiality regarding all project plans, financial data, architectural drawings, and proprietary information belonging to the Buyer. This obligation shall survive the termination of this</w:t>
      </w:r>
      <w:r>
        <w:t xml:space="preserve"> </w:t>
      </w:r>
      <w:r>
        <w:t xml:space="preserve">Purchase Order</w:t>
      </w:r>
      <w:r>
        <w:t xml:space="preserve"> </w:t>
      </w:r>
      <w:r>
        <w:t xml:space="preserve">for a period of three (3) years.</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by providing sixty (60) days' written notice. In the event of material breach by the Supplier, the Buyer may terminate immediately upon written notice. Upon termination, the Supplier shall hand over all project documentation, schedules, and records to the Buyer within fourteen (14) days at the</w:t>
      </w:r>
      <w:r>
        <w:t xml:space="preserve"> </w:t>
      </w:r>
      <w:r>
        <w:t xml:space="preserve">Kuwait Kuwait City</w:t>
      </w:r>
      <w:r>
        <w:t xml:space="preserve"> </w:t>
      </w:r>
      <w:r>
        <w:t xml:space="preserve">project office.</w:t>
      </w:r>
    </w:p>
    <w:p>
      <w:pPr>
        <w:numPr>
          <w:ilvl w:val="0"/>
          <w:numId w:val="1001"/>
        </w:numPr>
        <w:pStyle w:val="Compact"/>
      </w:pPr>
      <w:r>
        <w:rPr>
          <w:bCs/>
          <w:b/>
        </w:rPr>
        <w:t xml:space="preserve">Insurance and Liability:</w:t>
      </w:r>
      <w:r>
        <w:t xml:space="preserve"> </w:t>
      </w:r>
      <w:r>
        <w:t xml:space="preserve">The Supplier shall maintain professional indemnity insurance with a minimum coverage of KWD 500,000 for the duration of the</w:t>
      </w:r>
      <w:r>
        <w:t xml:space="preserve"> </w:t>
      </w:r>
      <w:r>
        <w:t xml:space="preserve">Project Manager</w:t>
      </w:r>
      <w:r>
        <w:t xml:space="preserve">'s engagement. The Supplier shall be liable for any damages or losses directly caused by the negligence or professional misconduct of the</w:t>
      </w:r>
      <w:r>
        <w:t xml:space="preserve"> </w:t>
      </w:r>
      <w:r>
        <w:t xml:space="preserve">Project Manager</w:t>
      </w:r>
      <w:r>
        <w:t xml:space="preserve">.</w:t>
      </w:r>
    </w:p>
    <w:p>
      <w:pPr>
        <w:numPr>
          <w:ilvl w:val="0"/>
          <w:numId w:val="1001"/>
        </w:numPr>
        <w:pStyle w:val="Compact"/>
      </w:pPr>
      <w:r>
        <w:rPr>
          <w:bCs/>
          <w:b/>
        </w:rPr>
        <w:t xml:space="preserve">Compliance:</w:t>
      </w:r>
      <w:r>
        <w:t xml:space="preserve"> </w:t>
      </w:r>
      <w:r>
        <w:t xml:space="preserve">The</w:t>
      </w:r>
      <w:r>
        <w:t xml:space="preserve"> </w:t>
      </w:r>
      <w:r>
        <w:t xml:space="preserve">Project Manager</w:t>
      </w:r>
      <w:r>
        <w:t xml:space="preserve"> </w:t>
      </w:r>
      <w:r>
        <w:t xml:space="preserve">shall comply with all applicable Kuwaiti labor laws, building regulations, environmental standards, and municipal bylaws as enforced in</w:t>
      </w:r>
      <w:r>
        <w:t xml:space="preserve"> </w:t>
      </w:r>
      <w:r>
        <w:t xml:space="preserve">Kuwait Kuwait City</w:t>
      </w:r>
      <w:r>
        <w:t xml:space="preserve">. The Supplier is responsible for obtaining and maintaining all necessary work permits and residency visas for the</w:t>
      </w:r>
      <w:r>
        <w:t xml:space="preserve"> </w:t>
      </w:r>
      <w:r>
        <w:t xml:space="preserve">Project Manager</w:t>
      </w:r>
      <w:r>
        <w:t xml:space="preserve"> </w:t>
      </w:r>
      <w:r>
        <w:t xml:space="preserve">and support staff.</w:t>
      </w:r>
    </w:p>
    <w:p>
      <w:pPr>
        <w:numPr>
          <w:ilvl w:val="0"/>
          <w:numId w:val="1001"/>
        </w:numPr>
        <w:pStyle w:val="Compact"/>
      </w:pPr>
      <w:r>
        <w:rPr>
          <w:bCs/>
          <w:b/>
        </w:rPr>
        <w:t xml:space="preserve">Force Majeure:</w:t>
      </w:r>
      <w:r>
        <w:t xml:space="preserve"> </w:t>
      </w:r>
      <w:r>
        <w:t xml:space="preserve">Neither party shall be liable for failure to perform obligations under this</w:t>
      </w:r>
      <w:r>
        <w:t xml:space="preserve"> </w:t>
      </w:r>
      <w:r>
        <w:t xml:space="preserve">Purchase Order</w:t>
      </w:r>
      <w:r>
        <w:t xml:space="preserve"> </w:t>
      </w:r>
      <w:r>
        <w:t xml:space="preserve">due to events beyond reasonable control, including but not limited to natural disasters, government sanctions, or civil unrest affecting</w:t>
      </w:r>
      <w:r>
        <w:t xml:space="preserve"> </w:t>
      </w:r>
      <w:r>
        <w:t xml:space="preserve">Kuwait Kuwait City</w:t>
      </w:r>
      <w:r>
        <w:t xml:space="preserve">.</w:t>
      </w:r>
    </w:p>
    <w:p>
      <w:pPr>
        <w:numPr>
          <w:ilvl w:val="0"/>
          <w:numId w:val="1001"/>
        </w:numPr>
        <w:pStyle w:val="Compact"/>
      </w:pPr>
      <w:r>
        <w:rPr>
          <w:bCs/>
          <w:b/>
        </w:rPr>
        <w:t xml:space="preserve">Entire Agreement:</w:t>
      </w:r>
      <w:r>
        <w:t xml:space="preserve"> </w:t>
      </w:r>
      <w:r>
        <w:t xml:space="preserve">This</w:t>
      </w:r>
      <w:r>
        <w:t xml:space="preserve"> </w:t>
      </w:r>
      <w:r>
        <w:t xml:space="preserve">Purchase Order</w:t>
      </w:r>
      <w:r>
        <w:t xml:space="preserve">, together with any attached schedules and the Master Service Agreement dated 01 January 2025, constitutes the entire agreement between the parties regarding the engagement of the</w:t>
      </w:r>
      <w:r>
        <w:t xml:space="preserve"> </w:t>
      </w:r>
      <w:r>
        <w:t xml:space="preserve">Project Manager</w:t>
      </w:r>
      <w:r>
        <w:t xml:space="preserve"> </w:t>
      </w:r>
      <w:r>
        <w:t xml:space="preserve">for the project in</w:t>
      </w:r>
      <w:r>
        <w:t xml:space="preserve"> </w:t>
      </w:r>
      <w:r>
        <w:t xml:space="preserve">Kuwait Kuwait City</w:t>
      </w:r>
      <w:r>
        <w:t xml:space="preserve">.</w:t>
      </w:r>
    </w:p>
    <w:p>
      <w:pPr>
        <w:pStyle w:val="FirstParagraph"/>
      </w:pPr>
      <w:r>
        <w:t xml:space="preserve">4. AUTHORIZED SIGNATORIES</w:t>
      </w:r>
    </w:p>
    <w:p>
      <w:pPr>
        <w:pStyle w:val="BodyText"/>
      </w:pPr>
      <w:r>
        <w:rPr>
          <w:bCs/>
          <w:b/>
        </w:rPr>
        <w:t xml:space="preserve">For and on behalf of the Buyer</w:t>
      </w:r>
      <w:r>
        <w:br/>
      </w:r>
      <w:r>
        <w:t xml:space="preserve">Al-Nakheel Construction &amp; Development W.L.L.</w:t>
      </w:r>
      <w:r>
        <w:br/>
      </w:r>
      <w:r>
        <w:br/>
      </w:r>
      <w:r>
        <w:t xml:space="preserve">Name: Mr. Fahad Al-Sabah</w:t>
      </w:r>
      <w:r>
        <w:br/>
      </w:r>
      <w:r>
        <w:t xml:space="preserve">Title: Procurement Director</w:t>
      </w:r>
      <w:r>
        <w:br/>
      </w:r>
      <w:r>
        <w:t xml:space="preserve">Date: _______________</w:t>
      </w:r>
    </w:p>
    <w:p>
      <w:pPr>
        <w:pStyle w:val="BodyText"/>
      </w:pPr>
      <w:r>
        <w:rPr>
          <w:bCs/>
          <w:b/>
        </w:rPr>
        <w:t xml:space="preserve">For and on behalf of the Supplier</w:t>
      </w:r>
      <w:r>
        <w:br/>
      </w:r>
      <w:r>
        <w:t xml:space="preserve">Global Project Management Solutions FZE</w:t>
      </w:r>
      <w:r>
        <w:br/>
      </w:r>
      <w:r>
        <w:br/>
      </w:r>
      <w:r>
        <w:t xml:space="preserve">Name: Ms. Layla Al-Mutawa</w:t>
      </w:r>
      <w:r>
        <w:br/>
      </w:r>
      <w:r>
        <w:t xml:space="preserve">Title: Account Director</w:t>
      </w:r>
      <w:r>
        <w:br/>
      </w:r>
      <w:r>
        <w:t xml:space="preserve">Date: _______________</w:t>
      </w:r>
    </w:p>
    <w:p>
      <w:pPr>
        <w:pStyle w:val="BodyText"/>
      </w:pPr>
      <w:r>
        <w:t xml:space="preserve">This</w:t>
      </w:r>
      <w:r>
        <w:t xml:space="preserve"> </w:t>
      </w:r>
      <w:r>
        <w:t xml:space="preserve">Purchase Order</w:t>
      </w:r>
      <w:r>
        <w:t xml:space="preserve"> </w:t>
      </w:r>
      <w:r>
        <w:t xml:space="preserve">(PO-KWT-2025-00847) is issued for the engagement of a</w:t>
      </w:r>
      <w:r>
        <w:t xml:space="preserve"> </w:t>
      </w:r>
      <w:r>
        <w:t xml:space="preserve">Project Manager</w:t>
      </w:r>
      <w:r>
        <w:t xml:space="preserve"> </w:t>
      </w:r>
      <w:r>
        <w:t xml:space="preserve">for the Kuwait City Mixed-Use Commercial Development project located in</w:t>
      </w:r>
      <w:r>
        <w:t xml:space="preserve"> </w:t>
      </w:r>
      <w:r>
        <w:t xml:space="preserve">Kuwait Kuwait City</w:t>
      </w:r>
      <w:r>
        <w:t xml:space="preserve">, State of Kuwait. This document is valid only when signed and stamped by both parties. Unauthorized reproduction or distribution is prohibited.</w:t>
      </w:r>
    </w:p>
    <w:p>
      <w:pPr>
        <w:pStyle w:val="BodyText"/>
      </w:pPr>
      <w:r>
        <w:t xml:space="preserve">Document generated on 15 June 2025 | Page 1 of 1 | Al-Nakheel Construction &amp; Development W.L.L. – Kuwait Kuwait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Project Manager Services - Kuwait Kuwait City</dc:title>
  <dc:creator/>
  <dc:language>en</dc:language>
  <cp:keywords/>
  <dcterms:created xsi:type="dcterms:W3CDTF">2026-10-10T01:18:27Z</dcterms:created>
  <dcterms:modified xsi:type="dcterms:W3CDTF">2026-10-10T01:18:27Z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