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purchase-order"/>
    <w:p>
      <w:pPr>
        <w:pStyle w:val="Heading1"/>
      </w:pPr>
      <w:r>
        <w:t xml:space="preserve">PURCHASE ORDER</w:t>
      </w:r>
    </w:p>
    <w:p>
      <w:pPr>
        <w:pStyle w:val="FirstParagraph"/>
      </w:pPr>
      <w:r>
        <w:t xml:space="preserve">Procurement of Project Manager Professional Services</w:t>
      </w:r>
    </w:p>
    <w:p>
      <w:pPr>
        <w:pStyle w:val="BodyText"/>
      </w:pPr>
      <w:r>
        <w:t xml:space="preserve">Project Location: Russia Moscow</w:t>
      </w:r>
    </w:p>
    <w:bookmarkEnd w:id="20"/>
    <w:p>
      <w:pPr>
        <w:pStyle w:val="BodyText"/>
      </w:pPr>
      <w:r>
        <w:rPr>
          <w:bCs/>
          <w:b/>
        </w:rPr>
        <w:t xml:space="preserve">Purchase Order No.:</w:t>
      </w:r>
      <w:r>
        <w:t xml:space="preserve"> </w:t>
      </w:r>
      <w:r>
        <w:t xml:space="preserve">PO-RM-2025-04872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Project Reference:</w:t>
      </w:r>
      <w:r>
        <w:t xml:space="preserve"> </w:t>
      </w:r>
      <w:r>
        <w:t xml:space="preserve">PM-RUS-MOW-2025-011</w:t>
      </w:r>
      <w:r>
        <w:br/>
      </w:r>
      <w:r>
        <w:rPr>
          <w:bCs/>
          <w:b/>
        </w:rPr>
        <w:t xml:space="preserve">Classification:</w:t>
      </w:r>
      <w:r>
        <w:t xml:space="preserve"> </w:t>
      </w:r>
      <w:r>
        <w:t xml:space="preserve">Confidential</w:t>
      </w:r>
      <w:r>
        <w:br/>
      </w:r>
      <w:r>
        <w:rPr>
          <w:bCs/>
          <w:b/>
        </w:rPr>
        <w:t xml:space="preserve">Currency:</w:t>
      </w:r>
      <w:r>
        <w:t xml:space="preserve"> </w:t>
      </w:r>
      <w:r>
        <w:t xml:space="preserve">USD (US Dollars)</w:t>
      </w:r>
    </w:p>
    <w:bookmarkStart w:id="21" w:name="parties-to-this-purchase-order"/>
    <w:p>
      <w:pPr>
        <w:pStyle w:val="Heading2"/>
      </w:pPr>
      <w:r>
        <w:t xml:space="preserve">1. Parties to This Purchase Order</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w:t>
            </w:r>
          </w:p>
        </w:tc>
      </w:tr>
      <w:tr>
        <w:tc>
          <w:tcPr/>
          <w:p>
            <w:pPr>
              <w:pStyle w:val="Compact"/>
              <w:jc w:val="left"/>
            </w:pPr>
            <w:r>
              <w:rPr>
                <w:bCs/>
                <w:b/>
              </w:rPr>
              <w:t xml:space="preserve">Buyer (Purchasing Entity)</w:t>
            </w:r>
          </w:p>
        </w:tc>
        <w:tc>
          <w:tcPr/>
          <w:p>
            <w:pPr>
              <w:pStyle w:val="Compact"/>
              <w:jc w:val="left"/>
            </w:pPr>
            <w:r>
              <w:t xml:space="preserve">Meridian Infrastructure Development Group LLC</w:t>
            </w:r>
          </w:p>
        </w:tc>
        <w:tc>
          <w:tcPr/>
          <w:p>
            <w:pPr>
              <w:pStyle w:val="Compact"/>
              <w:jc w:val="left"/>
            </w:pPr>
            <w:r>
              <w:t xml:space="preserve">12 Tverskaya Street, Building 4, Floor 18</w:t>
            </w:r>
            <w:r>
              <w:br/>
            </w:r>
            <w:r>
              <w:t xml:space="preserve">Moscow, Russia Moscow 125009</w:t>
            </w:r>
            <w:r>
              <w:br/>
            </w:r>
            <w:r>
              <w:t xml:space="preserve">Federal District, Russian Federation</w:t>
            </w:r>
          </w:p>
        </w:tc>
      </w:tr>
      <w:tr>
        <w:tc>
          <w:tcPr/>
          <w:p>
            <w:pPr>
              <w:pStyle w:val="Compact"/>
              <w:jc w:val="left"/>
            </w:pPr>
            <w:r>
              <w:rPr>
                <w:bCs/>
                <w:b/>
              </w:rPr>
              <w:t xml:space="preserve">Supplier (Service Provider)</w:t>
            </w:r>
          </w:p>
        </w:tc>
        <w:tc>
          <w:tcPr/>
          <w:p>
            <w:pPr>
              <w:pStyle w:val="Compact"/>
              <w:jc w:val="left"/>
            </w:pPr>
            <w:r>
              <w:t xml:space="preserve">Apex Professional Consulting &amp; Management Solutions Ltd.</w:t>
            </w:r>
          </w:p>
        </w:tc>
        <w:tc>
          <w:tcPr/>
          <w:p>
            <w:pPr>
              <w:pStyle w:val="Compact"/>
              <w:jc w:val="left"/>
            </w:pPr>
            <w:r>
              <w:t xml:space="preserve">78 Park Avenue, Suite 2200</w:t>
            </w:r>
            <w:r>
              <w:br/>
            </w:r>
            <w:r>
              <w:t xml:space="preserve">New York, NY 10016</w:t>
            </w:r>
            <w:r>
              <w:br/>
            </w:r>
            <w:r>
              <w:t xml:space="preserve">United States of America</w:t>
            </w:r>
          </w:p>
        </w:tc>
      </w:tr>
    </w:tbl>
    <w:bookmarkEnd w:id="21"/>
    <w:bookmarkStart w:id="22" w:name="description-of-procured-services"/>
    <w:p>
      <w:pPr>
        <w:pStyle w:val="Heading2"/>
      </w:pPr>
      <w:r>
        <w:t xml:space="preserve">2. Description of Procured Services</w:t>
      </w:r>
    </w:p>
    <w:p>
      <w:pPr>
        <w:pStyle w:val="FirstParagraph"/>
      </w:pPr>
      <w:r>
        <w:t xml:space="preserve">This</w:t>
      </w:r>
      <w:r>
        <w:t xml:space="preserve"> </w:t>
      </w:r>
      <w:r>
        <w:t xml:space="preserve">Purchase Order</w:t>
      </w:r>
      <w:r>
        <w:t xml:space="preserve"> </w:t>
      </w:r>
      <w:r>
        <w:t xml:space="preserve">is issued by Meridian Infrastructure Development Group LLC (hereinafter referred to as the "Buyer") to Apex Professional Consulting &amp; Management Solutions Ltd. (hereinafter referred to as the "Supplier") for the procurement, engagement, and deployment of a qualified</w:t>
      </w:r>
      <w:r>
        <w:t xml:space="preserve"> </w:t>
      </w:r>
      <w:r>
        <w:t xml:space="preserve">Project Manager</w:t>
      </w:r>
      <w:r>
        <w:t xml:space="preserve"> </w:t>
      </w:r>
      <w:r>
        <w:t xml:space="preserve">to oversee, coordinate, and deliver the "Moscow Northern Corridor Infrastructure Modernization Program" (hereinafter referred to as the "Project").</w:t>
      </w:r>
    </w:p>
    <w:p>
      <w:pPr>
        <w:pStyle w:val="BodyText"/>
      </w:pPr>
      <w:r>
        <w:t xml:space="preserve">The</w:t>
      </w:r>
      <w:r>
        <w:t xml:space="preserve"> </w:t>
      </w:r>
      <w:r>
        <w:t xml:space="preserve">Project Manager</w:t>
      </w:r>
      <w:r>
        <w:t xml:space="preserve"> </w:t>
      </w:r>
      <w:r>
        <w:t xml:space="preserve">shall be a certified professional holding a minimum of PMP (Project Management Professional) certification from the Project Management Institute, with no fewer than twelve (12) years of demonstrated experience in large-scale infrastructure and construction project management. The</w:t>
      </w:r>
      <w:r>
        <w:t xml:space="preserve"> </w:t>
      </w:r>
      <w:r>
        <w:t xml:space="preserve">Project Manager</w:t>
      </w:r>
      <w:r>
        <w:t xml:space="preserve"> </w:t>
      </w:r>
      <w:r>
        <w:t xml:space="preserve">must possess proven expertise in managing multi-disciplinary teams, regulatory compliance within the Russian Federation, and cross-border stakeholder communication.</w:t>
      </w:r>
    </w:p>
    <w:p>
      <w:pPr>
        <w:pStyle w:val="BodyText"/>
      </w:pPr>
      <w:r>
        <w:t xml:space="preserve">All services rendered under this</w:t>
      </w:r>
      <w:r>
        <w:t xml:space="preserve"> </w:t>
      </w:r>
      <w:r>
        <w:t xml:space="preserve">Purchase Order</w:t>
      </w:r>
      <w:r>
        <w:t xml:space="preserve"> </w:t>
      </w:r>
      <w:r>
        <w:t xml:space="preserve">shall be performed exclusively within the jurisdiction of</w:t>
      </w:r>
      <w:r>
        <w:t xml:space="preserve"> </w:t>
      </w:r>
      <w:r>
        <w:t xml:space="preserve">Russia Moscow</w:t>
      </w:r>
      <w:r>
        <w:t xml:space="preserve">, specifically at the Buyer's designated project site located in the Northern Administrative Okrug of Moscow, Russia Moscow. The</w:t>
      </w:r>
      <w:r>
        <w:t xml:space="preserve"> </w:t>
      </w:r>
      <w:r>
        <w:t xml:space="preserve">Project Manager</w:t>
      </w:r>
      <w:r>
        <w:t xml:space="preserve"> </w:t>
      </w:r>
      <w:r>
        <w:t xml:space="preserve">shall be physically present at the project site in</w:t>
      </w:r>
      <w:r>
        <w:t xml:space="preserve"> </w:t>
      </w:r>
      <w:r>
        <w:t xml:space="preserve">Russia Moscow</w:t>
      </w:r>
      <w:r>
        <w:t xml:space="preserve"> </w:t>
      </w:r>
      <w:r>
        <w:t xml:space="preserve">for a minimum of five (5) working days per week throughout the entire engagement period.</w:t>
      </w:r>
    </w:p>
    <w:bookmarkEnd w:id="22"/>
    <w:bookmarkStart w:id="23" w:name="scope-of-work-and-deliverables"/>
    <w:p>
      <w:pPr>
        <w:pStyle w:val="Heading2"/>
      </w:pPr>
      <w:r>
        <w:t xml:space="preserve">3. Scope of Work and Deliverables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w:t>
            </w:r>
          </w:p>
        </w:tc>
        <w:tc>
          <w:tcPr/>
          <w:p>
            <w:pPr>
              <w:pStyle w:val="Compact"/>
              <w:jc w:val="left"/>
            </w:pPr>
            <w:r>
              <w:t xml:space="preserve">Deliverable / Service Item</w:t>
            </w:r>
          </w:p>
        </w:tc>
        <w:tc>
          <w:tcPr/>
          <w:p>
            <w:pPr>
              <w:pStyle w:val="Compact"/>
              <w:jc w:val="left"/>
            </w:pPr>
            <w:r>
              <w:t xml:space="preserve">Timeline</w:t>
            </w:r>
          </w:p>
        </w:tc>
        <w:tc>
          <w:tcPr/>
          <w:p>
            <w:pPr>
              <w:pStyle w:val="Compact"/>
              <w:jc w:val="left"/>
            </w:pPr>
            <w:r>
              <w:t xml:space="preserve">Acceptance Criteria</w:t>
            </w:r>
          </w:p>
        </w:tc>
      </w:tr>
      <w:tr>
        <w:tc>
          <w:tcPr/>
          <w:p>
            <w:pPr>
              <w:pStyle w:val="Compact"/>
              <w:jc w:val="left"/>
            </w:pPr>
            <w:r>
              <w:t xml:space="preserve">1</w:t>
            </w:r>
          </w:p>
        </w:tc>
        <w:tc>
          <w:tcPr/>
          <w:p>
            <w:pPr>
              <w:pStyle w:val="Compact"/>
              <w:jc w:val="left"/>
            </w:pPr>
            <w:r>
              <w:t xml:space="preserve">Comprehensive Project Initiation Plan and Work Breakdown Structure (WBS) for the Moscow Northern Corridor project</w:t>
            </w:r>
          </w:p>
        </w:tc>
        <w:tc>
          <w:tcPr/>
          <w:p>
            <w:pPr>
              <w:pStyle w:val="Compact"/>
              <w:jc w:val="left"/>
            </w:pPr>
            <w:r>
              <w:t xml:space="preserve">Weeks 1–3</w:t>
            </w:r>
          </w:p>
        </w:tc>
        <w:tc>
          <w:tcPr/>
          <w:p>
            <w:pPr>
              <w:pStyle w:val="Compact"/>
              <w:jc w:val="left"/>
            </w:pPr>
            <w:r>
              <w:t xml:space="preserve">Approved by Buyer's Board of Directors in Russia Moscow</w:t>
            </w:r>
          </w:p>
        </w:tc>
      </w:tr>
      <w:tr>
        <w:tc>
          <w:tcPr/>
          <w:p>
            <w:pPr>
              <w:pStyle w:val="Compact"/>
              <w:jc w:val="left"/>
            </w:pPr>
            <w:r>
              <w:t xml:space="preserve">2</w:t>
            </w:r>
          </w:p>
        </w:tc>
        <w:tc>
          <w:tcPr/>
          <w:p>
            <w:pPr>
              <w:pStyle w:val="Compact"/>
              <w:jc w:val="left"/>
            </w:pPr>
            <w:r>
              <w:t xml:space="preserve">Weekly progress reports, risk registers, and stakeholder communication logs</w:t>
            </w:r>
          </w:p>
        </w:tc>
        <w:tc>
          <w:tcPr/>
          <w:p>
            <w:pPr>
              <w:pStyle w:val="Compact"/>
              <w:jc w:val="left"/>
            </w:pPr>
            <w:r>
              <w:t xml:space="preserve">Weekly (Ongoing)</w:t>
            </w:r>
          </w:p>
        </w:tc>
        <w:tc>
          <w:tcPr/>
          <w:p>
            <w:pPr>
              <w:pStyle w:val="Compact"/>
              <w:jc w:val="left"/>
            </w:pPr>
            <w:r>
              <w:t xml:space="preserve">Submitted every Friday by 17:00 Moscow Time</w:t>
            </w:r>
          </w:p>
        </w:tc>
      </w:tr>
      <w:tr>
        <w:tc>
          <w:tcPr/>
          <w:p>
            <w:pPr>
              <w:pStyle w:val="Compact"/>
              <w:jc w:val="left"/>
            </w:pPr>
            <w:r>
              <w:t xml:space="preserve">3</w:t>
            </w:r>
          </w:p>
        </w:tc>
        <w:tc>
          <w:tcPr/>
          <w:p>
            <w:pPr>
              <w:pStyle w:val="Compact"/>
              <w:jc w:val="left"/>
            </w:pPr>
            <w:r>
              <w:t xml:space="preserve">Resource allocation and vendor coordination for all subcontractors operating in Russia Moscow</w:t>
            </w:r>
          </w:p>
        </w:tc>
        <w:tc>
          <w:tcPr/>
          <w:p>
            <w:pPr>
              <w:pStyle w:val="Compact"/>
              <w:jc w:val="left"/>
            </w:pPr>
            <w:r>
              <w:t xml:space="preserve">Continuous</w:t>
            </w:r>
          </w:p>
        </w:tc>
        <w:tc>
          <w:tcPr/>
          <w:p>
            <w:pPr>
              <w:pStyle w:val="Compact"/>
              <w:jc w:val="left"/>
            </w:pPr>
            <w:r>
              <w:t xml:space="preserve">Zero unmitigated critical-path delays</w:t>
            </w:r>
          </w:p>
        </w:tc>
      </w:tr>
      <w:tr>
        <w:tc>
          <w:tcPr/>
          <w:p>
            <w:pPr>
              <w:pStyle w:val="Compact"/>
              <w:jc w:val="left"/>
            </w:pPr>
            <w:r>
              <w:t xml:space="preserve">4</w:t>
            </w:r>
          </w:p>
        </w:tc>
        <w:tc>
          <w:tcPr/>
          <w:p>
            <w:pPr>
              <w:pStyle w:val="Compact"/>
              <w:jc w:val="left"/>
            </w:pPr>
            <w:r>
              <w:t xml:space="preserve">Regulatory compliance documentation per Russian Federation Federal Law No. 395-FZ on Construction Activity</w:t>
            </w:r>
          </w:p>
        </w:tc>
        <w:tc>
          <w:tcPr/>
          <w:p>
            <w:pPr>
              <w:pStyle w:val="Compact"/>
              <w:jc w:val="left"/>
            </w:pPr>
            <w:r>
              <w:t xml:space="preserve">Monthly</w:t>
            </w:r>
          </w:p>
        </w:tc>
        <w:tc>
          <w:tcPr/>
          <w:p>
            <w:pPr>
              <w:pStyle w:val="Compact"/>
              <w:jc w:val="left"/>
            </w:pPr>
            <w:r>
              <w:t xml:space="preserve">Certified by local legal counsel in Russia Moscow</w:t>
            </w:r>
          </w:p>
        </w:tc>
      </w:tr>
      <w:tr>
        <w:tc>
          <w:tcPr/>
          <w:p>
            <w:pPr>
              <w:pStyle w:val="Compact"/>
              <w:jc w:val="left"/>
            </w:pPr>
            <w:r>
              <w:t xml:space="preserve">5</w:t>
            </w:r>
          </w:p>
        </w:tc>
        <w:tc>
          <w:tcPr/>
          <w:p>
            <w:pPr>
              <w:pStyle w:val="Compact"/>
              <w:jc w:val="left"/>
            </w:pPr>
            <w:r>
              <w:t xml:space="preserve">Final Project Closure Report including lessons learned and handover documentation</w:t>
            </w:r>
          </w:p>
        </w:tc>
        <w:tc>
          <w:tcPr/>
          <w:p>
            <w:pPr>
              <w:pStyle w:val="Compact"/>
              <w:jc w:val="left"/>
            </w:pPr>
            <w:r>
              <w:t xml:space="preserve">Final Week</w:t>
            </w:r>
          </w:p>
        </w:tc>
        <w:tc>
          <w:tcPr/>
          <w:p>
            <w:pPr>
              <w:pStyle w:val="Compact"/>
              <w:jc w:val="left"/>
            </w:pPr>
            <w:r>
              <w:t xml:space="preserve">Accepted by Buyer's Executive Director</w:t>
            </w:r>
          </w:p>
        </w:tc>
      </w:tr>
    </w:tbl>
    <w:bookmarkEnd w:id="23"/>
    <w:bookmarkStart w:id="24" w:name="financial-terms-and-payment-schedule"/>
    <w:p>
      <w:pPr>
        <w:pStyle w:val="Heading2"/>
      </w:pPr>
      <w:r>
        <w:t xml:space="preserve">4. Financial Terms and Payment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Payment Milestone</w:t>
            </w:r>
          </w:p>
        </w:tc>
        <w:tc>
          <w:tcPr/>
          <w:p>
            <w:pPr>
              <w:pStyle w:val="Compact"/>
              <w:jc w:val="left"/>
            </w:pPr>
            <w:r>
              <w:t xml:space="preserve">Amount (USD)</w:t>
            </w:r>
          </w:p>
        </w:tc>
        <w:tc>
          <w:tcPr/>
          <w:p>
            <w:pPr>
              <w:pStyle w:val="Compact"/>
              <w:jc w:val="left"/>
            </w:pPr>
            <w:r>
              <w:t xml:space="preserve">Due Date</w:t>
            </w:r>
          </w:p>
        </w:tc>
        <w:tc>
          <w:tcPr/>
          <w:p>
            <w:pPr>
              <w:pStyle w:val="Compact"/>
              <w:jc w:val="left"/>
            </w:pPr>
            <w:r>
              <w:t xml:space="preserve">Payment Terms</w:t>
            </w:r>
          </w:p>
        </w:tc>
      </w:tr>
      <w:tr>
        <w:tc>
          <w:tcPr/>
          <w:p>
            <w:pPr>
              <w:pStyle w:val="Compact"/>
              <w:jc w:val="left"/>
            </w:pPr>
            <w:r>
              <w:t xml:space="preserve">Initial Mobilization Fee (Project Manager onboarding in Russia Moscow)</w:t>
            </w:r>
          </w:p>
        </w:tc>
        <w:tc>
          <w:tcPr/>
          <w:p>
            <w:pPr>
              <w:pStyle w:val="Compact"/>
              <w:jc w:val="left"/>
            </w:pPr>
            <w:r>
              <w:t xml:space="preserve">$45,000.00</w:t>
            </w:r>
          </w:p>
        </w:tc>
        <w:tc>
          <w:tcPr/>
          <w:p>
            <w:pPr>
              <w:pStyle w:val="Compact"/>
              <w:jc w:val="left"/>
            </w:pPr>
            <w:r>
              <w:t xml:space="preserve">Upon contract execution</w:t>
            </w:r>
          </w:p>
        </w:tc>
        <w:tc>
          <w:tcPr/>
          <w:p>
            <w:pPr>
              <w:pStyle w:val="Compact"/>
              <w:jc w:val="left"/>
            </w:pPr>
            <w:r>
              <w:t xml:space="preserve">Net 15 days</w:t>
            </w:r>
          </w:p>
        </w:tc>
      </w:tr>
      <w:tr>
        <w:tc>
          <w:tcPr/>
          <w:p>
            <w:pPr>
              <w:pStyle w:val="Compact"/>
              <w:jc w:val="left"/>
            </w:pPr>
            <w:r>
              <w:t xml:space="preserve">Monthly Retainer – Phase 1 (Months 1–6)</w:t>
            </w:r>
          </w:p>
        </w:tc>
        <w:tc>
          <w:tcPr/>
          <w:p>
            <w:pPr>
              <w:pStyle w:val="Compact"/>
              <w:jc w:val="left"/>
            </w:pPr>
            <w:r>
              <w:t xml:space="preserve">$38,500.00 / month</w:t>
            </w:r>
          </w:p>
        </w:tc>
        <w:tc>
          <w:tcPr/>
          <w:p>
            <w:pPr>
              <w:pStyle w:val="Compact"/>
              <w:jc w:val="left"/>
            </w:pPr>
            <w:r>
              <w:t xml:space="preserve">1st of each month</w:t>
            </w:r>
          </w:p>
        </w:tc>
        <w:tc>
          <w:tcPr/>
          <w:p>
            <w:pPr>
              <w:pStyle w:val="Compact"/>
              <w:jc w:val="left"/>
            </w:pPr>
            <w:r>
              <w:t xml:space="preserve">Net 30 days</w:t>
            </w:r>
          </w:p>
        </w:tc>
      </w:tr>
      <w:tr>
        <w:tc>
          <w:tcPr/>
          <w:p>
            <w:pPr>
              <w:pStyle w:val="Compact"/>
              <w:jc w:val="left"/>
            </w:pPr>
            <w:r>
              <w:t xml:space="preserve">Monthly Retainer – Phase 2 (Months 7–12)</w:t>
            </w:r>
          </w:p>
        </w:tc>
        <w:tc>
          <w:tcPr/>
          <w:p>
            <w:pPr>
              <w:pStyle w:val="Compact"/>
              <w:jc w:val="left"/>
            </w:pPr>
            <w:r>
              <w:t xml:space="preserve">$42,000.00 / month</w:t>
            </w:r>
          </w:p>
        </w:tc>
        <w:tc>
          <w:tcPr/>
          <w:p>
            <w:pPr>
              <w:pStyle w:val="Compact"/>
              <w:jc w:val="left"/>
            </w:pPr>
            <w:r>
              <w:t xml:space="preserve">1st of each month</w:t>
            </w:r>
          </w:p>
        </w:tc>
        <w:tc>
          <w:tcPr/>
          <w:p>
            <w:pPr>
              <w:pStyle w:val="Compact"/>
              <w:jc w:val="left"/>
            </w:pPr>
            <w:r>
              <w:t xml:space="preserve">Net 30 days</w:t>
            </w:r>
          </w:p>
        </w:tc>
      </w:tr>
      <w:tr>
        <w:tc>
          <w:tcPr/>
          <w:p>
            <w:pPr>
              <w:pStyle w:val="Compact"/>
              <w:jc w:val="left"/>
            </w:pPr>
            <w:r>
              <w:t xml:space="preserve">Performance Bonus (upon successful project closure)</w:t>
            </w:r>
          </w:p>
        </w:tc>
        <w:tc>
          <w:tcPr/>
          <w:p>
            <w:pPr>
              <w:pStyle w:val="Compact"/>
              <w:jc w:val="left"/>
            </w:pPr>
            <w:r>
              <w:t xml:space="preserve">$60,000.00</w:t>
            </w:r>
          </w:p>
        </w:tc>
        <w:tc>
          <w:tcPr/>
          <w:p>
            <w:pPr>
              <w:pStyle w:val="Compact"/>
              <w:jc w:val="left"/>
            </w:pPr>
            <w:r>
              <w:t xml:space="preserve">Within 30 days of closure</w:t>
            </w:r>
          </w:p>
        </w:tc>
        <w:tc>
          <w:tcPr/>
          <w:p>
            <w:pPr>
              <w:pStyle w:val="Compact"/>
              <w:jc w:val="left"/>
            </w:pPr>
            <w:r>
              <w:t xml:space="preserve">Net 30 days</w:t>
            </w:r>
          </w:p>
        </w:tc>
      </w:tr>
      <w:tr>
        <w:tc>
          <w:tcPr/>
          <w:p>
            <w:pPr>
              <w:pStyle w:val="Compact"/>
              <w:jc w:val="left"/>
            </w:pPr>
            <w:r>
              <w:t xml:space="preserve">TOTAL CONTRACT VALUE</w:t>
            </w:r>
          </w:p>
        </w:tc>
        <w:tc>
          <w:tcPr/>
          <w:p>
            <w:pPr>
              <w:pStyle w:val="Compact"/>
              <w:jc w:val="left"/>
            </w:pPr>
            <w:r>
              <w:t xml:space="preserve">$1,083,000.00</w:t>
            </w:r>
          </w:p>
        </w:tc>
        <w:tc>
          <w:tcPr>
            <w:gridSpan w:val="2"/>
          </w:tcPr>
          <w:p>
            <w:pPr>
              <w:pStyle w:val="Compact"/>
              <w:jc w:val="left"/>
            </w:pPr>
            <w:r>
              <w:t xml:space="preserve">Subject to applicable Russian Federation tax regulations</w:t>
            </w:r>
          </w:p>
        </w:tc>
      </w:tr>
    </w:tbl>
    <w:p>
      <w:pPr>
        <w:pStyle w:val="BodyText"/>
      </w:pPr>
      <w:r>
        <w:t xml:space="preserve">All payments shall be made via international wire transfer to the Supplier's designated bank account. The Buyer shall be responsible for any withholding taxes applicable under the tax treaty between the Russian Federation and the United States. The</w:t>
      </w:r>
      <w:r>
        <w:t xml:space="preserve"> </w:t>
      </w:r>
      <w:r>
        <w:t xml:space="preserve">Project Manager</w:t>
      </w:r>
      <w:r>
        <w:t xml:space="preserve">'s local accommodation, transportation within</w:t>
      </w:r>
      <w:r>
        <w:t xml:space="preserve"> </w:t>
      </w:r>
      <w:r>
        <w:t xml:space="preserve">Russia Moscow</w:t>
      </w:r>
      <w:r>
        <w:t xml:space="preserve">, and per diem expenses (capped at $150 per day) shall be covered separately by the Buyer as operational costs and are not included in the amounts above.</w:t>
      </w:r>
    </w:p>
    <w:bookmarkEnd w:id="24"/>
    <w:bookmarkStart w:id="25" w:name="terms-and-conditions"/>
    <w:p>
      <w:pPr>
        <w:pStyle w:val="Heading2"/>
      </w:pPr>
      <w:r>
        <w:t xml:space="preserve">5. Terms and Conditions</w:t>
      </w:r>
    </w:p>
    <w:p>
      <w:pPr>
        <w:pStyle w:val="FirstParagraph"/>
      </w:pPr>
      <w:r>
        <w:rPr>
          <w:bCs/>
          <w:b/>
        </w:rPr>
        <w:t xml:space="preserve">5.1 Governing Law:</w:t>
      </w:r>
      <w:r>
        <w:t xml:space="preserve"> </w:t>
      </w:r>
      <w:r>
        <w:t xml:space="preserve">This</w:t>
      </w:r>
      <w:r>
        <w:t xml:space="preserve"> </w:t>
      </w:r>
      <w:r>
        <w:t xml:space="preserve">Purchase Order</w:t>
      </w:r>
      <w:r>
        <w:t xml:space="preserve"> </w:t>
      </w:r>
      <w:r>
        <w:t xml:space="preserve">and all associated services shall be governed by and construed in accordance with the laws of the Russian Federation, with particular reference to the Civil Code of the Russian Federation and applicable regulations pertaining to foreign service providers operating in</w:t>
      </w:r>
      <w:r>
        <w:t xml:space="preserve"> </w:t>
      </w:r>
      <w:r>
        <w:t xml:space="preserve">Russia Moscow</w:t>
      </w:r>
      <w:r>
        <w:t xml:space="preserve">. Any disputes arising from this Purchase Order shall be resolved through arbitration at the International Commercial Arbitration Court under the Chamber of Commerce and Industry of the Russian Federation, seated in Moscow, Russia Moscow.</w:t>
      </w:r>
    </w:p>
    <w:p>
      <w:pPr>
        <w:pStyle w:val="BodyText"/>
      </w:pPr>
      <w:r>
        <w:rPr>
          <w:bCs/>
          <w:b/>
        </w:rPr>
        <w:t xml:space="preserve">5.2 Confidentiality:</w:t>
      </w:r>
      <w:r>
        <w:t xml:space="preserve"> </w:t>
      </w:r>
      <w:r>
        <w:t xml:space="preserve">The</w:t>
      </w:r>
      <w:r>
        <w:t xml:space="preserve"> </w:t>
      </w:r>
      <w:r>
        <w:t xml:space="preserve">Project Manager</w:t>
      </w:r>
      <w:r>
        <w:t xml:space="preserve"> </w:t>
      </w:r>
      <w:r>
        <w:t xml:space="preserve">shall maintain strict confidentiality regarding all proprietary information, technical drawings, financial data, and strategic plans of the Buyer. This obligation shall survive the termination of this Purchase Order for a period of five (5) years.</w:t>
      </w:r>
    </w:p>
    <w:p>
      <w:pPr>
        <w:pStyle w:val="BodyText"/>
      </w:pPr>
      <w:r>
        <w:rPr>
          <w:bCs/>
          <w:b/>
        </w:rPr>
        <w:t xml:space="preserve">5.3 Termination:</w:t>
      </w:r>
      <w:r>
        <w:t xml:space="preserve"> </w:t>
      </w:r>
      <w:r>
        <w:t xml:space="preserve">Either party may terminate this Purchase Order with thirty (30) days' written notice. In the event of material breach by the Supplier, the Buyer may terminate immediately upon written notice. Upon termination, the Supplier shall ensure an orderly transition of all</w:t>
      </w:r>
      <w:r>
        <w:t xml:space="preserve"> </w:t>
      </w:r>
      <w:r>
        <w:t xml:space="preserve">Project Manager</w:t>
      </w:r>
      <w:r>
        <w:t xml:space="preserve"> </w:t>
      </w:r>
      <w:r>
        <w:t xml:space="preserve">duties and deliverables to a successor designated by the Buyer within fourteen (14) days.</w:t>
      </w:r>
    </w:p>
    <w:p>
      <w:pPr>
        <w:pStyle w:val="BodyText"/>
      </w:pPr>
      <w:r>
        <w:rPr>
          <w:bCs/>
          <w:b/>
        </w:rPr>
        <w:t xml:space="preserve">5.4 Force Majeure:</w:t>
      </w:r>
      <w:r>
        <w:t xml:space="preserve"> </w:t>
      </w:r>
      <w:r>
        <w:t xml:space="preserve">Neither party shall be liable for failure to perform obligations under this Purchase Order due to events beyond reasonable control, including but not limited to natural disasters, government sanctions, or civil unrest affecting operations in</w:t>
      </w:r>
      <w:r>
        <w:t xml:space="preserve"> </w:t>
      </w:r>
      <w:r>
        <w:t xml:space="preserve">Russia Moscow</w:t>
      </w:r>
      <w:r>
        <w:t xml:space="preserve">.</w:t>
      </w:r>
    </w:p>
    <w:p>
      <w:pPr>
        <w:pStyle w:val="BodyText"/>
      </w:pPr>
      <w:r>
        <w:rPr>
          <w:bCs/>
          <w:b/>
        </w:rPr>
        <w:t xml:space="preserve">5.5 Insurance:</w:t>
      </w:r>
      <w:r>
        <w:t xml:space="preserve"> </w:t>
      </w:r>
      <w:r>
        <w:t xml:space="preserve">The Supplier shall maintain professional liability insurance with a minimum coverage of $2,000,000 USD, valid throughout the duration of the</w:t>
      </w:r>
      <w:r>
        <w:t xml:space="preserve"> </w:t>
      </w:r>
      <w:r>
        <w:t xml:space="preserve">Project Manager</w:t>
      </w:r>
      <w:r>
        <w:t xml:space="preserve">'s engagement in</w:t>
      </w:r>
      <w:r>
        <w:t xml:space="preserve"> </w:t>
      </w:r>
      <w:r>
        <w:t xml:space="preserve">Russia Moscow</w:t>
      </w:r>
      <w:r>
        <w:t xml:space="preserve">.</w:t>
      </w:r>
    </w:p>
    <w:p>
      <w:pPr>
        <w:pStyle w:val="BodyText"/>
      </w:pPr>
      <w:r>
        <w:rPr>
          <w:bCs/>
          <w:b/>
        </w:rPr>
        <w:t xml:space="preserve">5.6 Intellectual Property:</w:t>
      </w:r>
      <w:r>
        <w:t xml:space="preserve"> </w:t>
      </w:r>
      <w:r>
        <w:t xml:space="preserve">All documents, plans, reports, and deliverables produced by the</w:t>
      </w:r>
      <w:r>
        <w:t xml:space="preserve"> </w:t>
      </w:r>
      <w:r>
        <w:t xml:space="preserve">Project Manager</w:t>
      </w:r>
      <w:r>
        <w:t xml:space="preserve"> </w:t>
      </w:r>
      <w:r>
        <w:t xml:space="preserve">in the course of this Purchase Order shall be the exclusive property of the Buyer upon full payment.</w:t>
      </w:r>
    </w:p>
    <w:bookmarkEnd w:id="25"/>
    <w:bookmarkStart w:id="26" w:name="authorized-signatories"/>
    <w:p>
      <w:pPr>
        <w:pStyle w:val="Heading2"/>
      </w:pPr>
      <w:r>
        <w:t xml:space="preserve">6. Authorized Signatories</w:t>
      </w:r>
    </w:p>
    <w:p>
      <w:pPr>
        <w:pStyle w:val="FirstParagraph"/>
      </w:pPr>
      <w:r>
        <w:rPr>
          <w:bCs/>
          <w:b/>
        </w:rPr>
        <w:t xml:space="preserve">For and on behalf of the Buyer:</w:t>
      </w:r>
    </w:p>
    <w:p>
      <w:pPr>
        <w:pStyle w:val="BodyText"/>
      </w:pPr>
      <w:r>
        <w:t xml:space="preserve">Meridian Infrastructure Development Group LLC</w:t>
      </w:r>
    </w:p>
    <w:p>
      <w:pPr>
        <w:pStyle w:val="BodyText"/>
      </w:pPr>
      <w:r>
        <w:t xml:space="preserve">Name: Alexander V. Petrov</w:t>
      </w:r>
      <w:r>
        <w:br/>
      </w:r>
      <w:r>
        <w:t xml:space="preserve">Title: Chief Executive Officer</w:t>
      </w:r>
      <w:r>
        <w:br/>
      </w:r>
      <w:r>
        <w:t xml:space="preserve">Date: _________________________</w:t>
      </w:r>
    </w:p>
    <w:p>
      <w:pPr>
        <w:pStyle w:val="BodyText"/>
      </w:pPr>
      <w:r>
        <w:rPr>
          <w:bCs/>
          <w:b/>
        </w:rPr>
        <w:t xml:space="preserve">For and on behalf of the Supplier:</w:t>
      </w:r>
    </w:p>
    <w:p>
      <w:pPr>
        <w:pStyle w:val="BodyText"/>
      </w:pPr>
      <w:r>
        <w:t xml:space="preserve">Apex Professional Consulting &amp; Management Solutions Ltd.</w:t>
      </w:r>
    </w:p>
    <w:p>
      <w:pPr>
        <w:pStyle w:val="BodyText"/>
      </w:pPr>
      <w:r>
        <w:t xml:space="preserve">Name: Margaret L. Thompson</w:t>
      </w:r>
      <w:r>
        <w:br/>
      </w:r>
      <w:r>
        <w:t xml:space="preserve">Title: Managing Director</w:t>
      </w:r>
      <w:r>
        <w:br/>
      </w:r>
      <w:r>
        <w:t xml:space="preserve">Date: _________________________</w:t>
      </w:r>
    </w:p>
    <w:bookmarkEnd w:id="26"/>
    <w:p>
      <w:pPr>
        <w:pStyle w:val="BodyText"/>
      </w:pPr>
      <w:r>
        <w:t xml:space="preserve">This Purchase Order (PO-RM-2025-04872) constitutes a binding procurement document for the engagement of a Project Manager for infrastructure development in Russia Moscow. This document is issued in two (2) original copies, one for each party. Unauthorized reproduction or distribution of this Purchase Order is strictly prohibited.</w:t>
      </w:r>
    </w:p>
    <w:p>
      <w:pPr>
        <w:pStyle w:val="BodyText"/>
      </w:pPr>
      <w:r>
        <w:t xml:space="preserve">Document ID: PO-RM-2025-04872 | Version: 1.0 | Classification: Confidential – Russia Moscow Project Division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Project Manager Services - Russia Moscow</dc:title>
  <dc:creator/>
  <dc:language>en</dc:language>
  <cp:keywords/>
  <dcterms:created xsi:type="dcterms:W3CDTF">2026-10-10T09:10:49Z</dcterms:created>
  <dcterms:modified xsi:type="dcterms:W3CDTF">2026-10-10T09:10:49Z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