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PO-2025-RYD-04782</w:t>
      </w:r>
    </w:p>
    <w:p>
      <w:pPr>
        <w:pStyle w:val="BodyText"/>
      </w:pPr>
      <w:r>
        <w:t xml:space="preserve">Al-Nakheel Construction &amp; Development Group Co. Ltd.</w:t>
      </w:r>
    </w:p>
    <w:p>
      <w:pPr>
        <w:pStyle w:val="BodyText"/>
      </w:pPr>
      <w:r>
        <w:t xml:space="preserve">King Fahd Road, Al Olaya District, Riyadh 12212, Saudi Arabia</w:t>
      </w:r>
    </w:p>
    <w:p>
      <w:pPr>
        <w:pStyle w:val="BodyText"/>
      </w:pPr>
      <w:r>
        <w:t xml:space="preserve">CR No. 1010456789 | VAT No. 310123456700003 | Commercial Registration: 1010456789</w:t>
      </w:r>
    </w:p>
    <w:p>
      <w:pPr>
        <w:pStyle w:val="BodyText"/>
      </w:pPr>
      <w:r>
        <w:t xml:space="preserve">Telephone: +966-11-456-7890 | Email: procurement@alnakheel-sa.com</w:t>
      </w:r>
    </w:p>
    <w:bookmarkEnd w:id="20"/>
    <w:p>
      <w:pPr>
        <w:pStyle w:val="BodyText"/>
      </w:pPr>
      <w:r>
        <w:rPr>
          <w:bCs/>
          <w:b/>
        </w:rPr>
        <w:t xml:space="preserve">Purchase Order No.:</w:t>
      </w:r>
      <w:r>
        <w:t xml:space="preserve"> </w:t>
      </w:r>
      <w:r>
        <w:t xml:space="preserve">PO-2025-RYD-04782</w:t>
      </w:r>
    </w:p>
    <w:p>
      <w:pPr>
        <w:pStyle w:val="BodyText"/>
      </w:pPr>
      <w:r>
        <w:rPr>
          <w:bCs/>
          <w:b/>
        </w:rPr>
        <w:t xml:space="preserve">Date of Issue:</w:t>
      </w:r>
      <w:r>
        <w:t xml:space="preserve"> </w:t>
      </w:r>
      <w:r>
        <w:t xml:space="preserve">15 June 2025</w:t>
      </w:r>
    </w:p>
    <w:p>
      <w:pPr>
        <w:pStyle w:val="BodyText"/>
      </w:pPr>
      <w:r>
        <w:rPr>
          <w:bCs/>
          <w:b/>
        </w:rPr>
        <w:t xml:space="preserve">Required Commencement:</w:t>
      </w:r>
      <w:r>
        <w:t xml:space="preserve"> </w:t>
      </w:r>
      <w:r>
        <w:t xml:space="preserve">01 July 2025</w:t>
      </w:r>
    </w:p>
    <w:p>
      <w:pPr>
        <w:pStyle w:val="BodyText"/>
      </w:pPr>
      <w:r>
        <w:rPr>
          <w:bCs/>
          <w:b/>
        </w:rPr>
        <w:t xml:space="preserve">Project Location:</w:t>
      </w:r>
      <w:r>
        <w:t xml:space="preserve"> </w:t>
      </w:r>
      <w:r>
        <w:t xml:space="preserve">Riyadh, Saudi Arabia</w:t>
      </w:r>
    </w:p>
    <w:p>
      <w:pPr>
        <w:pStyle w:val="BodyText"/>
      </w:pPr>
      <w:r>
        <w:rPr>
          <w:bCs/>
          <w:b/>
        </w:rPr>
        <w:t xml:space="preserve">Valid Until:</w:t>
      </w:r>
      <w:r>
        <w:t xml:space="preserve"> </w:t>
      </w:r>
      <w:r>
        <w:t xml:space="preserve">30 June 2025</w:t>
      </w:r>
    </w:p>
    <w:p>
      <w:pPr>
        <w:pStyle w:val="BodyText"/>
      </w:pPr>
      <w:r>
        <w:rPr>
          <w:bCs/>
          <w:b/>
        </w:rPr>
        <w:t xml:space="preserve">Currency:</w:t>
      </w:r>
      <w:r>
        <w:t xml:space="preserve"> </w:t>
      </w:r>
      <w:r>
        <w:t xml:space="preserve">Saudi Riyal (SAR)</w:t>
      </w:r>
    </w:p>
    <w:p>
      <w:pPr>
        <w:pStyle w:val="BodyText"/>
      </w:pPr>
      <w:r>
        <w:rPr>
          <w:bCs/>
          <w:b/>
        </w:rPr>
        <w:t xml:space="preserve">Payment Terms:</w:t>
      </w:r>
      <w:r>
        <w:t xml:space="preserve"> </w:t>
      </w:r>
      <w:r>
        <w:t xml:space="preserve">Net 30 Days</w:t>
      </w:r>
    </w:p>
    <w:p>
      <w:pPr>
        <w:pStyle w:val="BodyText"/>
      </w:pPr>
      <w:r>
        <w:rPr>
          <w:bCs/>
          <w:b/>
        </w:rPr>
        <w:t xml:space="preserve">Department:</w:t>
      </w:r>
      <w:r>
        <w:t xml:space="preserve"> </w:t>
      </w:r>
      <w:r>
        <w:t xml:space="preserve">Project Management Office (PMO)</w:t>
      </w:r>
    </w:p>
    <w:p>
      <w:pPr>
        <w:pStyle w:val="BodyText"/>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Professional Talent Solutions &amp; Management Consulting FZE</w:t>
            </w:r>
          </w:p>
        </w:tc>
      </w:tr>
      <w:tr>
        <w:tc>
          <w:tcPr/>
          <w:p>
            <w:pPr>
              <w:pStyle w:val="Compact"/>
              <w:jc w:val="left"/>
            </w:pPr>
            <w:r>
              <w:rPr>
                <w:bCs/>
                <w:b/>
              </w:rPr>
              <w:t xml:space="preserve">Address:</w:t>
            </w:r>
          </w:p>
        </w:tc>
        <w:tc>
          <w:tcPr/>
          <w:p>
            <w:pPr>
              <w:pStyle w:val="Compact"/>
              <w:jc w:val="left"/>
            </w:pPr>
            <w:r>
              <w:t xml:space="preserve">Office 12, Kingdom Tower, King Fahd Road, Riyadh 12211, Saudi Arabia</w:t>
            </w:r>
          </w:p>
        </w:tc>
      </w:tr>
      <w:tr>
        <w:tc>
          <w:tcPr/>
          <w:p>
            <w:pPr>
              <w:pStyle w:val="Compact"/>
              <w:jc w:val="left"/>
            </w:pPr>
            <w:r>
              <w:rPr>
                <w:bCs/>
                <w:b/>
              </w:rPr>
              <w:t xml:space="preserve">Contact Person:</w:t>
            </w:r>
          </w:p>
        </w:tc>
        <w:tc>
          <w:tcPr/>
          <w:p>
            <w:pPr>
              <w:pStyle w:val="Compact"/>
              <w:jc w:val="left"/>
            </w:pPr>
            <w:r>
              <w:t xml:space="preserve">Mr. Khalid Al-Rashidi, Director of Client Relations</w:t>
            </w:r>
          </w:p>
        </w:tc>
      </w:tr>
      <w:tr>
        <w:tc>
          <w:tcPr/>
          <w:p>
            <w:pPr>
              <w:pStyle w:val="Compact"/>
              <w:jc w:val="left"/>
            </w:pPr>
            <w:r>
              <w:rPr>
                <w:bCs/>
                <w:b/>
              </w:rPr>
              <w:t xml:space="preserve">Telephone:</w:t>
            </w:r>
          </w:p>
        </w:tc>
        <w:tc>
          <w:tcPr/>
          <w:p>
            <w:pPr>
              <w:pStyle w:val="Compact"/>
              <w:jc w:val="left"/>
            </w:pPr>
            <w:r>
              <w:t xml:space="preserve">+966-55-123-4567</w:t>
            </w:r>
          </w:p>
        </w:tc>
      </w:tr>
      <w:tr>
        <w:tc>
          <w:tcPr/>
          <w:p>
            <w:pPr>
              <w:pStyle w:val="Compact"/>
              <w:jc w:val="left"/>
            </w:pPr>
            <w:r>
              <w:rPr>
                <w:bCs/>
                <w:b/>
              </w:rPr>
              <w:t xml:space="preserve">Email:</w:t>
            </w:r>
          </w:p>
        </w:tc>
        <w:tc>
          <w:tcPr/>
          <w:p>
            <w:pPr>
              <w:pStyle w:val="Compact"/>
              <w:jc w:val="left"/>
            </w:pPr>
            <w:r>
              <w:t xml:space="preserve">k.alrashidi@ptsmc-sa.com</w:t>
            </w:r>
          </w:p>
        </w:tc>
      </w:tr>
      <w:tr>
        <w:tc>
          <w:tcPr/>
          <w:p>
            <w:pPr>
              <w:pStyle w:val="Compact"/>
              <w:jc w:val="left"/>
            </w:pPr>
            <w:r>
              <w:rPr>
                <w:bCs/>
                <w:b/>
              </w:rPr>
              <w:t xml:space="preserve">CR No.:</w:t>
            </w:r>
          </w:p>
        </w:tc>
        <w:tc>
          <w:tcPr/>
          <w:p>
            <w:pPr>
              <w:pStyle w:val="Compact"/>
              <w:jc w:val="left"/>
            </w:pPr>
            <w:r>
              <w:t xml:space="preserve">1010987654 | VAT No. 310987654300003</w:t>
            </w:r>
          </w:p>
        </w:tc>
      </w:tr>
    </w:tbl>
    <w:p>
      <w:pPr>
        <w:pStyle w:val="BodyText"/>
      </w:pPr>
      <w:r>
        <w:t xml:space="preserve">LINE ITEMS – PROJECT MANAGER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Engagement of a Senior</w:t>
            </w:r>
            <w:r>
              <w:t xml:space="preserve"> </w:t>
            </w:r>
            <w:r>
              <w:t xml:space="preserve">Project Manager</w:t>
            </w:r>
            <w:r>
              <w:t xml:space="preserve"> </w:t>
            </w:r>
            <w:r>
              <w:t xml:space="preserve">(PMP Certified, 15+ years experience) to oversee the Al-Nakheel Commercial Tower construction project in</w:t>
            </w:r>
            <w:r>
              <w:t xml:space="preserve"> </w:t>
            </w:r>
            <w:r>
              <w:t xml:space="preserve">Riyadh, Saudi Arabia</w:t>
            </w:r>
            <w:r>
              <w:t xml:space="preserve">. Scope includes full lifecycle project management, stakeholder coordination, schedule control, budget management, and risk mitigation.</w:t>
            </w:r>
          </w:p>
        </w:tc>
        <w:tc>
          <w:tcPr/>
          <w:p>
            <w:pPr>
              <w:pStyle w:val="Compact"/>
              <w:jc w:val="left"/>
            </w:pPr>
            <w:r>
              <w:t xml:space="preserve">24 Months</w:t>
            </w:r>
          </w:p>
        </w:tc>
        <w:tc>
          <w:tcPr/>
          <w:p>
            <w:pPr>
              <w:pStyle w:val="Compact"/>
              <w:jc w:val="left"/>
            </w:pPr>
            <w:r>
              <w:t xml:space="preserve">1</w:t>
            </w:r>
          </w:p>
        </w:tc>
        <w:tc>
          <w:tcPr/>
          <w:p>
            <w:pPr>
              <w:pStyle w:val="Compact"/>
              <w:jc w:val="left"/>
            </w:pPr>
            <w:r>
              <w:t xml:space="preserve">45,000.00 / month</w:t>
            </w:r>
          </w:p>
        </w:tc>
        <w:tc>
          <w:tcPr/>
          <w:p>
            <w:pPr>
              <w:pStyle w:val="Compact"/>
              <w:jc w:val="left"/>
            </w:pPr>
            <w:r>
              <w:t xml:space="preserve">1,080,000.00</w:t>
            </w:r>
          </w:p>
        </w:tc>
      </w:tr>
      <w:tr>
        <w:tc>
          <w:tcPr/>
          <w:p>
            <w:pPr>
              <w:pStyle w:val="Compact"/>
              <w:jc w:val="left"/>
            </w:pPr>
            <w:r>
              <w:t xml:space="preserve">2</w:t>
            </w:r>
          </w:p>
        </w:tc>
        <w:tc>
          <w:tcPr/>
          <w:p>
            <w:pPr>
              <w:pStyle w:val="Compact"/>
              <w:jc w:val="left"/>
            </w:pPr>
            <w:r>
              <w:t xml:space="preserve">Provision of a dedicated</w:t>
            </w:r>
            <w:r>
              <w:t xml:space="preserve"> </w:t>
            </w:r>
            <w:r>
              <w:t xml:space="preserve">Project Manager</w:t>
            </w:r>
            <w:r>
              <w:t xml:space="preserve"> </w:t>
            </w:r>
            <w:r>
              <w:t xml:space="preserve">assistant and administrative support team (2 FTEs) to assist the lead Project Manager in daily operations, documentation, and reporting within the Riyadh office premises.</w:t>
            </w:r>
          </w:p>
        </w:tc>
        <w:tc>
          <w:tcPr/>
          <w:p>
            <w:pPr>
              <w:pStyle w:val="Compact"/>
              <w:jc w:val="left"/>
            </w:pPr>
            <w:r>
              <w:t xml:space="preserve">24 Months</w:t>
            </w:r>
          </w:p>
        </w:tc>
        <w:tc>
          <w:tcPr/>
          <w:p>
            <w:pPr>
              <w:pStyle w:val="Compact"/>
              <w:jc w:val="left"/>
            </w:pPr>
            <w:r>
              <w:t xml:space="preserve">2</w:t>
            </w:r>
          </w:p>
        </w:tc>
        <w:tc>
          <w:tcPr/>
          <w:p>
            <w:pPr>
              <w:pStyle w:val="Compact"/>
              <w:jc w:val="left"/>
            </w:pPr>
            <w:r>
              <w:t xml:space="preserve">12,000.00 / month</w:t>
            </w:r>
          </w:p>
        </w:tc>
        <w:tc>
          <w:tcPr/>
          <w:p>
            <w:pPr>
              <w:pStyle w:val="Compact"/>
              <w:jc w:val="left"/>
            </w:pPr>
            <w:r>
              <w:t xml:space="preserve">576,000.00</w:t>
            </w:r>
          </w:p>
        </w:tc>
      </w:tr>
      <w:tr>
        <w:tc>
          <w:tcPr/>
          <w:p>
            <w:pPr>
              <w:pStyle w:val="Compact"/>
              <w:jc w:val="left"/>
            </w:pPr>
            <w:r>
              <w:t xml:space="preserve">3</w:t>
            </w:r>
          </w:p>
        </w:tc>
        <w:tc>
          <w:tcPr/>
          <w:p>
            <w:pPr>
              <w:pStyle w:val="Compact"/>
              <w:jc w:val="left"/>
            </w:pPr>
            <w:r>
              <w:t xml:space="preserve">Project management software licensing (Primavera P6, MS Project, Procore) and hardware (laptops, tablets, communication devices) for the Project Manager team deployed in</w:t>
            </w:r>
            <w:r>
              <w:t xml:space="preserve"> </w:t>
            </w:r>
            <w:r>
              <w:t xml:space="preserve">Saudi Arabia Riyadh</w:t>
            </w:r>
            <w:r>
              <w:t xml:space="preserve">.</w:t>
            </w:r>
          </w:p>
        </w:tc>
        <w:tc>
          <w:tcPr/>
          <w:p>
            <w:pPr>
              <w:pStyle w:val="Compact"/>
              <w:jc w:val="left"/>
            </w:pPr>
            <w:r>
              <w:t xml:space="preserve">24 Months</w:t>
            </w:r>
          </w:p>
        </w:tc>
        <w:tc>
          <w:tcPr/>
          <w:p>
            <w:pPr>
              <w:pStyle w:val="Compact"/>
              <w:jc w:val="left"/>
            </w:pPr>
            <w:r>
              <w:t xml:space="preserve">1</w:t>
            </w:r>
          </w:p>
        </w:tc>
        <w:tc>
          <w:tcPr/>
          <w:p>
            <w:pPr>
              <w:pStyle w:val="Compact"/>
              <w:jc w:val="left"/>
            </w:pPr>
            <w:r>
              <w:t xml:space="preserve">185,000.00 (lump sum)</w:t>
            </w:r>
          </w:p>
        </w:tc>
        <w:tc>
          <w:tcPr/>
          <w:p>
            <w:pPr>
              <w:pStyle w:val="Compact"/>
              <w:jc w:val="left"/>
            </w:pPr>
            <w:r>
              <w:t xml:space="preserve">185,000.00</w:t>
            </w:r>
          </w:p>
        </w:tc>
      </w:tr>
      <w:tr>
        <w:tc>
          <w:tcPr/>
          <w:p>
            <w:pPr>
              <w:pStyle w:val="Compact"/>
              <w:jc w:val="left"/>
            </w:pPr>
            <w:r>
              <w:t xml:space="preserve">4</w:t>
            </w:r>
          </w:p>
        </w:tc>
        <w:tc>
          <w:tcPr/>
          <w:p>
            <w:pPr>
              <w:pStyle w:val="Compact"/>
              <w:jc w:val="left"/>
            </w:pPr>
            <w:r>
              <w:t xml:space="preserve">Monthly performance reporting, progress dashboards, and quarterly business reviews conducted by the Project Manager for the Al-Nakheel executive leadership team in Riyadh.</w:t>
            </w:r>
          </w:p>
        </w:tc>
        <w:tc>
          <w:tcPr/>
          <w:p>
            <w:pPr>
              <w:pStyle w:val="Compact"/>
              <w:jc w:val="left"/>
            </w:pPr>
            <w:r>
              <w:t xml:space="preserve">24 Months</w:t>
            </w:r>
          </w:p>
        </w:tc>
        <w:tc>
          <w:tcPr/>
          <w:p>
            <w:pPr>
              <w:pStyle w:val="Compact"/>
              <w:jc w:val="left"/>
            </w:pPr>
            <w:r>
              <w:t xml:space="preserve">24</w:t>
            </w:r>
          </w:p>
        </w:tc>
        <w:tc>
          <w:tcPr/>
          <w:p>
            <w:pPr>
              <w:pStyle w:val="Compact"/>
              <w:jc w:val="left"/>
            </w:pPr>
            <w:r>
              <w:t xml:space="preserve">8,500.00 / report cycle</w:t>
            </w:r>
          </w:p>
        </w:tc>
        <w:tc>
          <w:tcPr/>
          <w:p>
            <w:pPr>
              <w:pStyle w:val="Compact"/>
              <w:jc w:val="left"/>
            </w:pPr>
            <w:r>
              <w:t xml:space="preserve">204,000.00</w:t>
            </w:r>
          </w:p>
        </w:tc>
      </w:tr>
      <w:tr>
        <w:tc>
          <w:tcPr/>
          <w:p>
            <w:pPr>
              <w:pStyle w:val="Compact"/>
              <w:jc w:val="left"/>
            </w:pPr>
            <w:r>
              <w:t xml:space="preserve">5</w:t>
            </w:r>
          </w:p>
        </w:tc>
        <w:tc>
          <w:tcPr/>
          <w:p>
            <w:pPr>
              <w:pStyle w:val="Compact"/>
              <w:jc w:val="left"/>
            </w:pPr>
            <w:r>
              <w:t xml:space="preserve">Visa processing, Iqama sponsorship, medical insurance, and relocation assistance for the Project Manager and support staff as required under Saudi Arabian labor law and the Ministry of Human Resources and Social Development (MHRSD) regulations.</w:t>
            </w:r>
          </w:p>
        </w:tc>
        <w:tc>
          <w:tcPr/>
          <w:p>
            <w:pPr>
              <w:pStyle w:val="Compact"/>
              <w:jc w:val="left"/>
            </w:pPr>
            <w:r>
              <w:t xml:space="preserve">One-time</w:t>
            </w:r>
          </w:p>
        </w:tc>
        <w:tc>
          <w:tcPr/>
          <w:p>
            <w:pPr>
              <w:pStyle w:val="Compact"/>
              <w:jc w:val="left"/>
            </w:pPr>
            <w:r>
              <w:t xml:space="preserve">3</w:t>
            </w:r>
          </w:p>
        </w:tc>
        <w:tc>
          <w:tcPr/>
          <w:p>
            <w:pPr>
              <w:pStyle w:val="Compact"/>
              <w:jc w:val="left"/>
            </w:pPr>
            <w:r>
              <w:t xml:space="preserve">15,000.00 / individual</w:t>
            </w:r>
          </w:p>
        </w:tc>
        <w:tc>
          <w:tcPr/>
          <w:p>
            <w:pPr>
              <w:pStyle w:val="Compact"/>
              <w:jc w:val="left"/>
            </w:pPr>
            <w:r>
              <w:t xml:space="preserve">45,000.00</w:t>
            </w:r>
          </w:p>
        </w:tc>
      </w:tr>
      <w:tr>
        <w:tc>
          <w:tcPr>
            <w:gridSpan w:val="5"/>
          </w:tcPr>
          <w:p>
            <w:pPr>
              <w:pStyle w:val="Compact"/>
              <w:jc w:val="right"/>
            </w:pPr>
            <w:r>
              <w:t xml:space="preserve">SUBTOTAL</w:t>
            </w:r>
          </w:p>
        </w:tc>
        <w:tc>
          <w:tcPr/>
          <w:p>
            <w:pPr>
              <w:pStyle w:val="Compact"/>
              <w:jc w:val="left"/>
            </w:pPr>
            <w:r>
              <w:t xml:space="preserve">2,090,000.00</w:t>
            </w:r>
          </w:p>
        </w:tc>
      </w:tr>
      <w:tr>
        <w:tc>
          <w:tcPr>
            <w:gridSpan w:val="5"/>
          </w:tcPr>
          <w:p>
            <w:pPr>
              <w:pStyle w:val="Compact"/>
              <w:jc w:val="right"/>
            </w:pPr>
            <w:r>
              <w:t xml:space="preserve">VAT (15%)</w:t>
            </w:r>
          </w:p>
        </w:tc>
        <w:tc>
          <w:tcPr/>
          <w:p>
            <w:pPr>
              <w:pStyle w:val="Compact"/>
              <w:jc w:val="left"/>
            </w:pPr>
            <w:r>
              <w:t xml:space="preserve">313,500.00</w:t>
            </w:r>
          </w:p>
        </w:tc>
      </w:tr>
      <w:tr>
        <w:tc>
          <w:tcPr>
            <w:gridSpan w:val="5"/>
          </w:tcPr>
          <w:p>
            <w:pPr>
              <w:pStyle w:val="Compact"/>
              <w:jc w:val="right"/>
            </w:pPr>
            <w:r>
              <w:t xml:space="preserve">GRAND TOTAL (SAR)</w:t>
            </w:r>
          </w:p>
        </w:tc>
        <w:tc>
          <w:tcPr/>
          <w:p>
            <w:pPr>
              <w:pStyle w:val="Compact"/>
              <w:jc w:val="left"/>
            </w:pPr>
            <w:r>
              <w:t xml:space="preserve">2,403,500.00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Al-Nakheel Construction &amp; Development Group Co. Ltd. (hereinafter "the Buyer") and Professional Talent Solutions &amp; Management Consulting FZE (hereinafter "the Vendor") for the engagement of a qualified</w:t>
      </w:r>
      <w:r>
        <w:t xml:space="preserve"> </w:t>
      </w:r>
      <w:r>
        <w:t xml:space="preserve">Project Manager</w:t>
      </w:r>
      <w:r>
        <w:t xml:space="preserve"> </w:t>
      </w:r>
      <w:r>
        <w:t xml:space="preserve">and associated support services for the Al-Nakheel Commercial Tower project located in</w:t>
      </w:r>
      <w:r>
        <w:t xml:space="preserve"> </w:t>
      </w:r>
      <w:r>
        <w:t xml:space="preserve">Riyadh, Saudi Arabia</w:t>
      </w:r>
      <w:r>
        <w:t xml:space="preserve">.</w:t>
      </w:r>
    </w:p>
    <w:p>
      <w:pPr>
        <w:numPr>
          <w:ilvl w:val="0"/>
          <w:numId w:val="1001"/>
        </w:numPr>
        <w:pStyle w:val="Compact"/>
      </w:pPr>
      <w:r>
        <w:t xml:space="preserve">The</w:t>
      </w:r>
      <w:r>
        <w:t xml:space="preserve"> </w:t>
      </w:r>
      <w:r>
        <w:t xml:space="preserve">Project Manager</w:t>
      </w:r>
      <w:r>
        <w:t xml:space="preserve"> </w:t>
      </w:r>
      <w:r>
        <w:t xml:space="preserve">shall report directly to the Chief Executive Officer of Al-Nakheel and shall be physically present at the project site in Riyadh, Saudi Arabia, no fewer than five (5) working days per week, in accordance with the standard working hours as defined by Saudi Arabian labor law (Sunday through Thursday, 7:30 AM to 4:30 PM, with a one-hour prayer and meal break).</w:t>
      </w:r>
    </w:p>
    <w:p>
      <w:pPr>
        <w:numPr>
          <w:ilvl w:val="0"/>
          <w:numId w:val="1001"/>
        </w:numPr>
        <w:pStyle w:val="Compact"/>
      </w:pPr>
      <w:r>
        <w:t xml:space="preserve">The Vendor shall ensure that the</w:t>
      </w:r>
      <w:r>
        <w:t xml:space="preserve"> </w:t>
      </w:r>
      <w:r>
        <w:t xml:space="preserve">Project Manager</w:t>
      </w:r>
      <w:r>
        <w:t xml:space="preserve"> </w:t>
      </w:r>
      <w:r>
        <w:t xml:space="preserve">holds a valid PMP (Project Management Professional) certification, a minimum of fifteen (15) years of experience in large-scale construction or infrastructure projects, and fluency in both English and Arabic. A copy of the CV, certifications, and references shall be submitted to the Buyer for approval no later than ten (10) business days prior to the commencement date.</w:t>
      </w:r>
    </w:p>
    <w:p>
      <w:pPr>
        <w:numPr>
          <w:ilvl w:val="0"/>
          <w:numId w:val="1001"/>
        </w:numPr>
        <w:pStyle w:val="Compact"/>
      </w:pPr>
      <w:r>
        <w:t xml:space="preserve">All services rendered under this</w:t>
      </w:r>
      <w:r>
        <w:t xml:space="preserve"> </w:t>
      </w:r>
      <w:r>
        <w:t xml:space="preserve">Purchase Order</w:t>
      </w:r>
      <w:r>
        <w:t xml:space="preserve"> </w:t>
      </w:r>
      <w:r>
        <w:t xml:space="preserve">shall comply with the laws and regulations of the Kingdom of Saudi Arabia, including but not limited to the Saudi Labor Law, the Anti-Corruption Law, the Data Protection Law, and all applicable regulations issued by the Saudi Building Authority (SBA) and the Riyadh Municipality.</w:t>
      </w:r>
    </w:p>
    <w:p>
      <w:pPr>
        <w:numPr>
          <w:ilvl w:val="0"/>
          <w:numId w:val="1001"/>
        </w:numPr>
        <w:pStyle w:val="Compact"/>
      </w:pPr>
      <w:r>
        <w:t xml:space="preserve">Payment shall be made via bank transfer to the Vendor's designated account in Saudi Riyal (SAR) within thirty (30) calendar days of receipt of a valid tax invoice. The Buyer reserves the right to withhold payment for any deliverables not meeting the acceptance criteria defined in the Statement of Work.</w:t>
      </w:r>
    </w:p>
    <w:p>
      <w:pPr>
        <w:numPr>
          <w:ilvl w:val="0"/>
          <w:numId w:val="1001"/>
        </w:numPr>
        <w:pStyle w:val="Compact"/>
      </w:pPr>
      <w:r>
        <w:t xml:space="preserve">The</w:t>
      </w:r>
      <w:r>
        <w:t xml:space="preserve"> </w:t>
      </w:r>
      <w:r>
        <w:t xml:space="preserve">Project Manager</w:t>
      </w:r>
      <w:r>
        <w:t xml:space="preserve"> </w:t>
      </w:r>
      <w:r>
        <w:t xml:space="preserve">shall be subject to the Buyer's code of conduct, health and safety policies, and site access protocols. The Vendor remains the employer of record for all personnel, and the Buyer assumes no liability for employment-related claims.</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for convenience, the Buyer shall pay for all services rendered up to the termination date. In the event of termination for cause, the Vendor shall be liable for any direct losses incurred by the Buyer.</w:t>
      </w:r>
    </w:p>
    <w:p>
      <w:pPr>
        <w:numPr>
          <w:ilvl w:val="0"/>
          <w:numId w:val="1001"/>
        </w:numPr>
        <w:pStyle w:val="Compact"/>
      </w:pPr>
      <w:r>
        <w:t xml:space="preserve">All intellectual property, project documentation, schedules, reports, and deliverables produced by the</w:t>
      </w:r>
      <w:r>
        <w:t xml:space="preserve"> </w:t>
      </w:r>
      <w:r>
        <w:t xml:space="preserve">Project Manager</w:t>
      </w:r>
      <w:r>
        <w:t xml:space="preserve"> </w:t>
      </w:r>
      <w:r>
        <w:t xml:space="preserve">in the course of this engagement shall be the sole property of Al-Nakheel Construction &amp; Development Group Co. Ltd. and shall be delivered in electronic and hard-copy format upon request.</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amicable negotiation. Failing resolution within thirty (30) days, the matter shall be referred to arbitration in</w:t>
      </w:r>
      <w:r>
        <w:t xml:space="preserve"> </w:t>
      </w:r>
      <w:r>
        <w:t xml:space="preserve">Riyadh, Saudi Arabia</w:t>
      </w:r>
      <w:r>
        <w:t xml:space="preserve">, in accordance with the rules of the Saudi Center for Commercial Arbitration (SCCA). The governing law shall be the laws of the Kingdom of Saudi Arabia.</w:t>
      </w:r>
    </w:p>
    <w:p>
      <w:pPr>
        <w:numPr>
          <w:ilvl w:val="0"/>
          <w:numId w:val="1001"/>
        </w:numPr>
        <w:pStyle w:val="Compact"/>
      </w:pPr>
      <w:r>
        <w:t xml:space="preserve">This</w:t>
      </w:r>
      <w:r>
        <w:t xml:space="preserve"> </w:t>
      </w:r>
      <w:r>
        <w:t xml:space="preserve">Purchase Order</w:t>
      </w:r>
      <w:r>
        <w:t xml:space="preserve"> </w:t>
      </w:r>
      <w:r>
        <w:t xml:space="preserve">is valid for acceptance until 30 June 2025. Failure to confirm acceptance by the Vendor within this period shall render this document null and void. Any amendments to this</w:t>
      </w:r>
      <w:r>
        <w:t xml:space="preserve"> </w:t>
      </w:r>
      <w:r>
        <w:t xml:space="preserve">Purchase Order</w:t>
      </w:r>
      <w:r>
        <w:t xml:space="preserve"> </w:t>
      </w:r>
      <w:r>
        <w:t xml:space="preserve">must be made in writing and signed by authorized representatives of both parties.</w:t>
      </w:r>
    </w:p>
    <w:p>
      <w:pPr>
        <w:pStyle w:val="FirstParagraph"/>
      </w:pPr>
      <w:r>
        <w:t xml:space="preserve">DELIVERY AND COMMENCEMENT DETAILS</w:t>
      </w:r>
    </w:p>
    <w:p>
      <w:pPr>
        <w:pStyle w:val="BodyText"/>
      </w:pPr>
      <w:r>
        <w:t xml:space="preserve">The</w:t>
      </w:r>
      <w:r>
        <w:t xml:space="preserve"> </w:t>
      </w:r>
      <w:r>
        <w:t xml:space="preserve">Project Manager</w:t>
      </w:r>
      <w:r>
        <w:t xml:space="preserve"> </w:t>
      </w:r>
      <w:r>
        <w:t xml:space="preserve">and support team shall report to the Al-Nakheel Project Management Office located at King Fahd Road, Al Olaya District,</w:t>
      </w:r>
      <w:r>
        <w:t xml:space="preserve"> </w:t>
      </w:r>
      <w:r>
        <w:t xml:space="preserve">Riyadh, Saudi Arabia</w:t>
      </w:r>
      <w:r>
        <w:t xml:space="preserve">, no later than 07:30 AM on 01 July 2025. The Vendor shall confirm the final names, passport details, and visa status of all assigned personnel no later than 20 June 2025 to allow sufficient time for Iqama processing and work permit issuance through the Absher platform and the Ministry of Human Resources and Social Development.</w:t>
      </w:r>
    </w:p>
    <w:p>
      <w:pPr>
        <w:pStyle w:val="BodyText"/>
      </w:pPr>
      <w:r>
        <w:rPr>
          <w:bCs/>
          <w:b/>
        </w:rPr>
        <w:t xml:space="preserve">For and on behalf of the Buyer:</w:t>
      </w:r>
    </w:p>
    <w:p>
      <w:pPr>
        <w:pStyle w:val="BodyText"/>
      </w:pPr>
      <w:r>
        <w:t xml:space="preserve">Al-Nakheel Construction &amp; Development Group Co. Ltd.</w:t>
      </w:r>
    </w:p>
    <w:p>
      <w:pPr>
        <w:pStyle w:val="BodyText"/>
      </w:pPr>
      <w:r>
        <w:t xml:space="preserve">Name: Eng. Faisal Al-Otaibi</w:t>
      </w:r>
    </w:p>
    <w:p>
      <w:pPr>
        <w:pStyle w:val="BodyText"/>
      </w:pPr>
      <w:r>
        <w:t xml:space="preserve">Title: Chief Procurement Officer</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rPr>
          <w:bCs/>
          <w:b/>
        </w:rPr>
        <w:t xml:space="preserve">For and on behalf of the Vendor:</w:t>
      </w:r>
    </w:p>
    <w:p>
      <w:pPr>
        <w:pStyle w:val="BodyText"/>
      </w:pPr>
      <w:r>
        <w:t xml:space="preserve">Professional Talent Solutions &amp; Management Consulting FZE</w:t>
      </w:r>
    </w:p>
    <w:p>
      <w:pPr>
        <w:pStyle w:val="BodyText"/>
      </w:pPr>
      <w:r>
        <w:t xml:space="preserve">Name: Mr. Khalid Al-Rashidi</w:t>
      </w:r>
    </w:p>
    <w:p>
      <w:pPr>
        <w:pStyle w:val="BodyText"/>
      </w:pPr>
      <w:r>
        <w:t xml:space="preserve">Title: Director of Client Relations</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t xml:space="preserve">This</w:t>
      </w:r>
      <w:r>
        <w:t xml:space="preserve"> </w:t>
      </w:r>
      <w:r>
        <w:t xml:space="preserve">Purchase Order</w:t>
      </w:r>
      <w:r>
        <w:t xml:space="preserve"> </w:t>
      </w:r>
      <w:r>
        <w:t xml:space="preserve">(PO-2025-RYD-04782) is issued by Al-Nakheel Construction &amp; Development Group Co. Ltd. for the engagement of</w:t>
      </w:r>
      <w:r>
        <w:t xml:space="preserve"> </w:t>
      </w:r>
      <w:r>
        <w:t xml:space="preserve">Project Manager</w:t>
      </w:r>
      <w:r>
        <w:t xml:space="preserve"> </w:t>
      </w:r>
      <w:r>
        <w:t xml:space="preserve">services in</w:t>
      </w:r>
      <w:r>
        <w:t xml:space="preserve"> </w:t>
      </w:r>
      <w:r>
        <w:t xml:space="preserve">Saudi Arabia, Riyadh</w:t>
      </w:r>
      <w:r>
        <w:t xml:space="preserve">. This document is confidential and intended solely for the named parties. Unauthorized reproduction or distribution is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Saudi Arabia Riyadh</dc:title>
  <dc:creator/>
  <dc:language>en</dc:language>
  <cp:keywords/>
  <dcterms:created xsi:type="dcterms:W3CDTF">2026-10-10T02:32:05Z</dcterms:created>
  <dcterms:modified xsi:type="dcterms:W3CDTF">2026-10-10T02:32:05Z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