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Project Manager Professional Services Procurement</w:t>
      </w:r>
    </w:p>
    <w:p>
      <w:pPr>
        <w:pStyle w:val="BodyText"/>
      </w:pPr>
      <w:r>
        <w:t xml:space="preserve">United Arab Emirates — Dubai</w:t>
      </w:r>
    </w:p>
    <w:bookmarkEnd w:id="20"/>
    <w:p>
      <w:pPr>
        <w:pStyle w:val="BodyText"/>
      </w:pPr>
      <w:r>
        <w:rPr>
          <w:bCs/>
          <w:b/>
        </w:rPr>
        <w:t xml:space="preserve">Purchase Order No.:</w:t>
      </w:r>
      <w:r>
        <w:t xml:space="preserve"> </w:t>
      </w:r>
      <w:r>
        <w:t xml:space="preserve">PO-DXB-2025-04782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Company:</w:t>
            </w:r>
            <w:r>
              <w:t xml:space="preserve"> </w:t>
            </w:r>
            <w:r>
              <w:t xml:space="preserve">Gulf Horizon Development LLC</w:t>
            </w:r>
            <w:r>
              <w:br/>
            </w:r>
            <w:r>
              <w:rPr>
                <w:bCs/>
                <w:b/>
              </w:rPr>
              <w:t xml:space="preserve">Address:</w:t>
            </w:r>
            <w:r>
              <w:t xml:space="preserve"> </w:t>
            </w:r>
            <w:r>
              <w:t xml:space="preserve">Level 32, Burj Khalifa, Downtown Dubai, United Arab Emirates</w:t>
            </w:r>
            <w:r>
              <w:br/>
            </w:r>
            <w:r>
              <w:rPr>
                <w:bCs/>
                <w:b/>
              </w:rPr>
              <w:t xml:space="preserve">Trade License No.:</w:t>
            </w:r>
            <w:r>
              <w:t xml:space="preserve"> </w:t>
            </w:r>
            <w:r>
              <w:t xml:space="preserve">100457892</w:t>
            </w:r>
            <w:r>
              <w:br/>
            </w:r>
            <w:r>
              <w:rPr>
                <w:bCs/>
                <w:b/>
              </w:rPr>
              <w:t xml:space="preserve">VAT Registration No.:</w:t>
            </w:r>
            <w:r>
              <w:t xml:space="preserve"> </w:t>
            </w:r>
            <w:r>
              <w:t xml:space="preserve">100457892000003</w:t>
            </w:r>
            <w:r>
              <w:br/>
            </w:r>
            <w:r>
              <w:rPr>
                <w:bCs/>
                <w:b/>
              </w:rPr>
              <w:t xml:space="preserve">Contact:</w:t>
            </w:r>
            <w:r>
              <w:t xml:space="preserve"> </w:t>
            </w:r>
            <w:r>
              <w:t xml:space="preserve">procurement@gulfhorizon.ae</w:t>
            </w:r>
            <w:r>
              <w:br/>
            </w:r>
            <w:r>
              <w:rPr>
                <w:bCs/>
                <w:b/>
              </w:rPr>
              <w:t xml:space="preserve">Phone:</w:t>
            </w:r>
            <w:r>
              <w:t xml:space="preserve"> </w:t>
            </w:r>
            <w:r>
              <w:t xml:space="preserve">+971 4 555 0123</w:t>
            </w:r>
          </w:p>
        </w:tc>
        <w:tc>
          <w:tcPr/>
          <w:p>
            <w:pPr>
              <w:pStyle w:val="Compact"/>
              <w:jc w:val="left"/>
            </w:pPr>
            <w:r>
              <w:rPr>
                <w:bCs/>
                <w:b/>
              </w:rPr>
              <w:t xml:space="preserve">Company:</w:t>
            </w:r>
            <w:r>
              <w:t xml:space="preserve"> </w:t>
            </w:r>
            <w:r>
              <w:t xml:space="preserve">Apex Project Management Solutions FZ-LLC</w:t>
            </w:r>
            <w:r>
              <w:br/>
            </w:r>
            <w:r>
              <w:rPr>
                <w:bCs/>
                <w:b/>
              </w:rPr>
              <w:t xml:space="preserve">Address:</w:t>
            </w:r>
            <w:r>
              <w:t xml:space="preserve"> </w:t>
            </w:r>
            <w:r>
              <w:t xml:space="preserve">Office 1204, Building 7, Dubai Internet City, Dubai, United Arab Emirates</w:t>
            </w:r>
            <w:r>
              <w:br/>
            </w:r>
            <w:r>
              <w:rPr>
                <w:bCs/>
                <w:b/>
              </w:rPr>
              <w:t xml:space="preserve">Trade License No.:</w:t>
            </w:r>
            <w:r>
              <w:t xml:space="preserve"> </w:t>
            </w:r>
            <w:r>
              <w:t xml:space="preserve">100987654</w:t>
            </w:r>
            <w:r>
              <w:br/>
            </w:r>
            <w:r>
              <w:rPr>
                <w:bCs/>
                <w:b/>
              </w:rPr>
              <w:t xml:space="preserve">VAT Registration No.:</w:t>
            </w:r>
            <w:r>
              <w:t xml:space="preserve"> </w:t>
            </w:r>
            <w:r>
              <w:t xml:space="preserve">100987654000003</w:t>
            </w:r>
            <w:r>
              <w:br/>
            </w:r>
            <w:r>
              <w:rPr>
                <w:bCs/>
                <w:b/>
              </w:rPr>
              <w:t xml:space="preserve">Contact:</w:t>
            </w:r>
            <w:r>
              <w:t xml:space="preserve"> </w:t>
            </w:r>
            <w:r>
              <w:t xml:space="preserve">contracts@apexpm.ae</w:t>
            </w:r>
            <w:r>
              <w:br/>
            </w:r>
            <w:r>
              <w:rPr>
                <w:bCs/>
                <w:b/>
              </w:rPr>
              <w:t xml:space="preserve">Phone:</w:t>
            </w:r>
            <w:r>
              <w:t xml:space="preserve"> </w:t>
            </w:r>
            <w:r>
              <w:t xml:space="preserve">+971 4 888 4567</w:t>
            </w:r>
          </w:p>
        </w:tc>
      </w:tr>
    </w:tbl>
    <w:p>
      <w:pPr>
        <w:pStyle w:val="BodyText"/>
      </w:pPr>
      <w:r>
        <w:t xml:space="preserve">2. SCOPE OF PROCUREMENT</w:t>
      </w:r>
    </w:p>
    <w:p>
      <w:pPr>
        <w:pStyle w:val="BodyText"/>
      </w:pPr>
      <w:r>
        <w:t xml:space="preserve">This</w:t>
      </w:r>
      <w:r>
        <w:t xml:space="preserve"> </w:t>
      </w:r>
      <w:r>
        <w:t xml:space="preserve">Purchase Order</w:t>
      </w:r>
      <w:r>
        <w:t xml:space="preserve"> </w:t>
      </w:r>
      <w:r>
        <w:t xml:space="preserve">is issued by Gulf Horizon Development LLC for the procurement of a senior</w:t>
      </w:r>
      <w:r>
        <w:t xml:space="preserve"> </w:t>
      </w:r>
      <w:r>
        <w:t xml:space="preserve">Project Manager</w:t>
      </w:r>
      <w:r>
        <w:t xml:space="preserve"> </w:t>
      </w:r>
      <w:r>
        <w:t xml:space="preserve">professional to oversee and deliver the "Marina Tower Phase II" construction and infrastructure project located in the Dubai Marina district,</w:t>
      </w:r>
      <w:r>
        <w:t xml:space="preserve"> </w:t>
      </w:r>
      <w:r>
        <w:t xml:space="preserve">United Arab Emirates Dubai</w:t>
      </w:r>
      <w:r>
        <w:t xml:space="preserve">. The</w:t>
      </w:r>
      <w:r>
        <w:t xml:space="preserve"> </w:t>
      </w:r>
      <w:r>
        <w:t xml:space="preserve">Project Manager</w:t>
      </w:r>
      <w:r>
        <w:t xml:space="preserve"> </w:t>
      </w:r>
      <w:r>
        <w:t xml:space="preserve">shall be responsible for end-to-end project delivery, including but not limited to schedule management, budget control, stakeholder coordination, risk mitigation, quality assurance, and compliance with all applicable regulations of the Dubai Municipality and the Dubai Department of Economy and Tourism.</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Senior Project Manager — Full-time engagement for Marina Tower Phase II (construction, MEP, and fit-out phases)</w:t>
            </w:r>
          </w:p>
        </w:tc>
        <w:tc>
          <w:tcPr/>
          <w:p>
            <w:pPr>
              <w:pStyle w:val="Compact"/>
              <w:jc w:val="left"/>
            </w:pPr>
            <w:r>
              <w:t xml:space="preserve">18 months</w:t>
            </w:r>
          </w:p>
        </w:tc>
        <w:tc>
          <w:tcPr/>
          <w:p>
            <w:pPr>
              <w:pStyle w:val="Compact"/>
              <w:jc w:val="left"/>
            </w:pPr>
            <w:r>
              <w:t xml:space="preserve">Month</w:t>
            </w:r>
          </w:p>
        </w:tc>
        <w:tc>
          <w:tcPr/>
          <w:p>
            <w:pPr>
              <w:pStyle w:val="Compact"/>
              <w:jc w:val="left"/>
            </w:pPr>
            <w:r>
              <w:t xml:space="preserve">45,000.00</w:t>
            </w:r>
          </w:p>
        </w:tc>
        <w:tc>
          <w:tcPr/>
          <w:p>
            <w:pPr>
              <w:pStyle w:val="Compact"/>
              <w:jc w:val="left"/>
            </w:pPr>
            <w:r>
              <w:t xml:space="preserve">810,000.00</w:t>
            </w:r>
          </w:p>
        </w:tc>
      </w:tr>
      <w:tr>
        <w:tc>
          <w:tcPr/>
          <w:p>
            <w:pPr>
              <w:pStyle w:val="Compact"/>
              <w:jc w:val="left"/>
            </w:pPr>
            <w:r>
              <w:t xml:space="preserve">02</w:t>
            </w:r>
          </w:p>
        </w:tc>
        <w:tc>
          <w:tcPr/>
          <w:p>
            <w:pPr>
              <w:pStyle w:val="Compact"/>
              <w:jc w:val="left"/>
            </w:pPr>
            <w:r>
              <w:t xml:space="preserve">Project Manager onboarding, site mobilization, and initial project audit in Dubai, United Arab Emirates</w:t>
            </w:r>
          </w:p>
        </w:tc>
        <w:tc>
          <w:tcPr/>
          <w:p>
            <w:pPr>
              <w:pStyle w:val="Compact"/>
              <w:jc w:val="left"/>
            </w:pPr>
            <w:r>
              <w:t xml:space="preserve">1 time</w:t>
            </w:r>
          </w:p>
        </w:tc>
        <w:tc>
          <w:tcPr/>
          <w:p>
            <w:pPr>
              <w:pStyle w:val="Compact"/>
              <w:jc w:val="left"/>
            </w:pPr>
            <w:r>
              <w:t xml:space="preserve">Lump Sum</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Monthly project reporting, progress dashboards, and stakeholder presentation preparation</w:t>
            </w:r>
          </w:p>
        </w:tc>
        <w:tc>
          <w:tcPr/>
          <w:p>
            <w:pPr>
              <w:pStyle w:val="Compact"/>
              <w:jc w:val="left"/>
            </w:pPr>
            <w:r>
              <w:t xml:space="preserve">18 months</w:t>
            </w:r>
          </w:p>
        </w:tc>
        <w:tc>
          <w:tcPr/>
          <w:p>
            <w:pPr>
              <w:pStyle w:val="Compact"/>
              <w:jc w:val="left"/>
            </w:pPr>
            <w:r>
              <w:t xml:space="preserve">Month</w:t>
            </w:r>
          </w:p>
        </w:tc>
        <w:tc>
          <w:tcPr/>
          <w:p>
            <w:pPr>
              <w:pStyle w:val="Compact"/>
              <w:jc w:val="left"/>
            </w:pPr>
            <w:r>
              <w:t xml:space="preserve">3,200.00</w:t>
            </w:r>
          </w:p>
        </w:tc>
        <w:tc>
          <w:tcPr/>
          <w:p>
            <w:pPr>
              <w:pStyle w:val="Compact"/>
              <w:jc w:val="left"/>
            </w:pPr>
            <w:r>
              <w:t xml:space="preserve">57,600.00</w:t>
            </w:r>
          </w:p>
        </w:tc>
      </w:tr>
      <w:tr>
        <w:tc>
          <w:tcPr/>
          <w:p>
            <w:pPr>
              <w:pStyle w:val="Compact"/>
              <w:jc w:val="left"/>
            </w:pPr>
            <w:r>
              <w:t xml:space="preserve">04</w:t>
            </w:r>
          </w:p>
        </w:tc>
        <w:tc>
          <w:tcPr/>
          <w:p>
            <w:pPr>
              <w:pStyle w:val="Compact"/>
              <w:jc w:val="left"/>
            </w:pPr>
            <w:r>
              <w:t xml:space="preserve">Regulatory compliance liaison with Dubai Municipality, Civil Defence, and DEWA on behalf of the Project Manager</w:t>
            </w:r>
          </w:p>
        </w:tc>
        <w:tc>
          <w:tcPr/>
          <w:p>
            <w:pPr>
              <w:pStyle w:val="Compact"/>
              <w:jc w:val="left"/>
            </w:pPr>
            <w:r>
              <w:t xml:space="preserve">18 months</w:t>
            </w:r>
          </w:p>
        </w:tc>
        <w:tc>
          <w:tcPr/>
          <w:p>
            <w:pPr>
              <w:pStyle w:val="Compact"/>
              <w:jc w:val="left"/>
            </w:pPr>
            <w:r>
              <w:t xml:space="preserve">Month</w:t>
            </w:r>
          </w:p>
        </w:tc>
        <w:tc>
          <w:tcPr/>
          <w:p>
            <w:pPr>
              <w:pStyle w:val="Compact"/>
              <w:jc w:val="left"/>
            </w:pPr>
            <w:r>
              <w:t xml:space="preserve">2,800.00</w:t>
            </w:r>
          </w:p>
        </w:tc>
        <w:tc>
          <w:tcPr/>
          <w:p>
            <w:pPr>
              <w:pStyle w:val="Compact"/>
              <w:jc w:val="left"/>
            </w:pPr>
            <w:r>
              <w:t xml:space="preserve">50,400.00</w:t>
            </w:r>
          </w:p>
        </w:tc>
      </w:tr>
      <w:tr>
        <w:tc>
          <w:tcPr/>
          <w:p>
            <w:pPr>
              <w:pStyle w:val="Compact"/>
              <w:jc w:val="left"/>
            </w:pPr>
            <w:r>
              <w:t xml:space="preserve">05</w:t>
            </w:r>
          </w:p>
        </w:tc>
        <w:tc>
          <w:tcPr/>
          <w:p>
            <w:pPr>
              <w:pStyle w:val="Compact"/>
              <w:jc w:val="left"/>
            </w:pPr>
            <w:r>
              <w:t xml:space="preserve">Contingency allocation for Project Manager travel, site inspections, and emergency response within Dubai, UAE</w:t>
            </w:r>
          </w:p>
        </w:tc>
        <w:tc>
          <w:tcPr/>
          <w:p>
            <w:pPr>
              <w:pStyle w:val="Compact"/>
              <w:jc w:val="left"/>
            </w:pPr>
            <w:r>
              <w:t xml:space="preserve">18 months</w:t>
            </w:r>
          </w:p>
        </w:tc>
        <w:tc>
          <w:tcPr/>
          <w:p>
            <w:pPr>
              <w:pStyle w:val="Compact"/>
              <w:jc w:val="left"/>
            </w:pPr>
            <w:r>
              <w:t xml:space="preserve">Month</w:t>
            </w:r>
          </w:p>
        </w:tc>
        <w:tc>
          <w:tcPr/>
          <w:p>
            <w:pPr>
              <w:pStyle w:val="Compact"/>
              <w:jc w:val="left"/>
            </w:pPr>
            <w:r>
              <w:t xml:space="preserve">1,500.00</w:t>
            </w:r>
          </w:p>
        </w:tc>
        <w:tc>
          <w:tcPr/>
          <w:p>
            <w:pPr>
              <w:pStyle w:val="Compact"/>
              <w:jc w:val="left"/>
            </w:pPr>
            <w:r>
              <w:t xml:space="preserve">27,000.00</w:t>
            </w:r>
          </w:p>
        </w:tc>
      </w:tr>
      <w:tr>
        <w:tc>
          <w:tcPr>
            <w:gridSpan w:val="5"/>
          </w:tcPr>
          <w:p>
            <w:pPr>
              <w:pStyle w:val="Compact"/>
              <w:jc w:val="right"/>
            </w:pPr>
            <w:r>
              <w:t xml:space="preserve">Subtotal (AED)</w:t>
            </w:r>
          </w:p>
        </w:tc>
        <w:tc>
          <w:tcPr/>
          <w:p>
            <w:pPr>
              <w:pStyle w:val="Compact"/>
              <w:jc w:val="left"/>
            </w:pPr>
            <w:r>
              <w:t xml:space="preserve">957,500.00</w:t>
            </w:r>
          </w:p>
        </w:tc>
      </w:tr>
      <w:tr>
        <w:tc>
          <w:tcPr>
            <w:gridSpan w:val="5"/>
          </w:tcPr>
          <w:p>
            <w:pPr>
              <w:pStyle w:val="Compact"/>
              <w:jc w:val="right"/>
            </w:pPr>
            <w:r>
              <w:t xml:space="preserve">VAT @ 5% (United Arab Emirates)</w:t>
            </w:r>
          </w:p>
        </w:tc>
        <w:tc>
          <w:tcPr/>
          <w:p>
            <w:pPr>
              <w:pStyle w:val="Compact"/>
              <w:jc w:val="left"/>
            </w:pPr>
            <w:r>
              <w:t xml:space="preserve">47,875.00</w:t>
            </w:r>
          </w:p>
        </w:tc>
      </w:tr>
      <w:tr>
        <w:tc>
          <w:tcPr>
            <w:gridSpan w:val="5"/>
          </w:tcPr>
          <w:p>
            <w:pPr>
              <w:pStyle w:val="Compact"/>
              <w:jc w:val="right"/>
            </w:pPr>
            <w:r>
              <w:t xml:space="preserve">TOTAL AMOUNT DUE (AED)</w:t>
            </w:r>
          </w:p>
        </w:tc>
        <w:tc>
          <w:tcPr/>
          <w:p>
            <w:pPr>
              <w:pStyle w:val="Compact"/>
              <w:jc w:val="left"/>
            </w:pPr>
            <w:r>
              <w:t xml:space="preserve">1,005,375.00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Arab Emirates, specifically the Federal Civil Transactions Law and the Dubai Commercial Regulations. Any disputes arising from this Purchase Order shall be subject to the exclusive jurisdiction of the Dubai Courts.</w:t>
      </w:r>
    </w:p>
    <w:p>
      <w:pPr>
        <w:numPr>
          <w:ilvl w:val="0"/>
          <w:numId w:val="1001"/>
        </w:numPr>
        <w:pStyle w:val="Compact"/>
      </w:pPr>
      <w:r>
        <w:rPr>
          <w:bCs/>
          <w:b/>
        </w:rPr>
        <w:t xml:space="preserve">Project Manager Qualifications:</w:t>
      </w:r>
      <w:r>
        <w:t xml:space="preserve"> </w:t>
      </w:r>
      <w:r>
        <w:t xml:space="preserve">The Project Manager assigned under this Purchase Order must hold a minimum of ten (10) years of experience in large-scale construction and infrastructure projects in the United Arab Emirates Dubai region. The Project Manager must possess a PMP (Project Management Professional) certification and a valid UAE professional visa. A minimum degree in Civil Engineering, Construction Management, or a related discipline from an accredited institution is required.</w:t>
      </w:r>
    </w:p>
    <w:p>
      <w:pPr>
        <w:numPr>
          <w:ilvl w:val="0"/>
          <w:numId w:val="1001"/>
        </w:numPr>
        <w:pStyle w:val="Compact"/>
      </w:pPr>
      <w:r>
        <w:rPr>
          <w:bCs/>
          <w:b/>
        </w:rPr>
        <w:t xml:space="preserve">Payment Terms:</w:t>
      </w:r>
      <w:r>
        <w:t xml:space="preserve"> </w:t>
      </w:r>
      <w:r>
        <w:t xml:space="preserve">Payment shall be made on a monthly basis within thirty (30) calendar days from the date of invoice submission. The first payment shall be due upon successful onboarding and commencement of the Project Manager's duties. All payments shall be made via bank transfer to the supplier's designated account in AED (United Arab Emirates Dirham).</w:t>
      </w:r>
    </w:p>
    <w:p>
      <w:pPr>
        <w:numPr>
          <w:ilvl w:val="0"/>
          <w:numId w:val="1001"/>
        </w:numPr>
        <w:pStyle w:val="Compact"/>
      </w:pPr>
      <w:r>
        <w:rPr>
          <w:bCs/>
          <w:b/>
        </w:rPr>
        <w:t xml:space="preserve">Performance Standards:</w:t>
      </w:r>
      <w:r>
        <w:t xml:space="preserve"> </w:t>
      </w:r>
      <w:r>
        <w:t xml:space="preserve">The Project Manager shall adhere to the project schedule, budget, and quality benchmarks as defined in the attached Statement of Work (SOW). Failure to meet key performance indicators (KPIs) for two consecutive months shall entitle the Buyer to issue a formal notice of default, and continued non-performance may result in termination of this Purchase Order with thirty (30) days' written notice.</w:t>
      </w:r>
    </w:p>
    <w:p>
      <w:pPr>
        <w:numPr>
          <w:ilvl w:val="0"/>
          <w:numId w:val="1001"/>
        </w:numPr>
        <w:pStyle w:val="Compact"/>
      </w:pPr>
      <w:r>
        <w:rPr>
          <w:bCs/>
          <w:b/>
        </w:rPr>
        <w:t xml:space="preserve">Confidentiality:</w:t>
      </w:r>
      <w:r>
        <w:t xml:space="preserve"> </w:t>
      </w:r>
      <w:r>
        <w:t xml:space="preserve">The Project Manager and the Supplier shall maintain strict confidentiality regarding all project data, architectural drawings, financial records, and proprietary information of Gulf Horizon Development LLC. This obligation shall survive the termination of this Purchase Order for a period of five (5) years.</w:t>
      </w:r>
    </w:p>
    <w:p>
      <w:pPr>
        <w:numPr>
          <w:ilvl w:val="0"/>
          <w:numId w:val="1001"/>
        </w:numPr>
        <w:pStyle w:val="Compact"/>
      </w:pPr>
      <w:r>
        <w:rPr>
          <w:bCs/>
          <w:b/>
        </w:rPr>
        <w:t xml:space="preserve">Insurance and Liability:</w:t>
      </w:r>
      <w:r>
        <w:t xml:space="preserve"> </w:t>
      </w:r>
      <w:r>
        <w:t xml:space="preserve">The Supplier shall maintain professional indemnity insurance with a minimum coverage of AED 5,000,000 and comprehensive general liability insurance valid throughout the United Arab Emirates Dubai jurisdiction for the entire duration of the engagement.</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the non-breaching party may terminate immediately upon written notice. Upon termination, the Supplier shall be compensated for all services rendered up to the effective date of termination.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public health emergencies affecting the United Arab Emirates Dubai region.</w:t>
      </w:r>
    </w:p>
    <w:p>
      <w:pPr>
        <w:numPr>
          <w:ilvl w:val="0"/>
          <w:numId w:val="1001"/>
        </w:numPr>
        <w:pStyle w:val="Compact"/>
      </w:pPr>
      <w:r>
        <w:rPr>
          <w:bCs/>
          <w:b/>
        </w:rPr>
        <w:t xml:space="preserve">Anti-Corruption:</w:t>
      </w:r>
      <w:r>
        <w:t xml:space="preserve"> </w:t>
      </w:r>
      <w:r>
        <w:t xml:space="preserve">Both parties warrant compliance with the UAE Anti-Corruption Law (Federal Decree-Law No. 20 of 2016). Any violation shall constitute grounds for immediate termination of this Purchase Order and legal action.</w:t>
      </w:r>
    </w:p>
    <w:p>
      <w:pPr>
        <w:pStyle w:val="FirstParagraph"/>
      </w:pPr>
      <w:r>
        <w:t xml:space="preserve">5. DELIVERY AND COMMENCEMENT</w:t>
      </w:r>
    </w:p>
    <w:p>
      <w:pPr>
        <w:pStyle w:val="BodyText"/>
      </w:pPr>
      <w:r>
        <w:t xml:space="preserve">The Project Manager shall commence duties no later than 1 July 2025 at the project site located at Plot 45, Dubai Marina, Dubai, United Arab Emirates. The Supplier shall ensure that the Project Manager is fully mobilized, equipped with all necessary tools, software licenses (including Primavera P6, MS Project, and AutoCAD), and site access credentials prior to the commencement date.</w:t>
      </w:r>
    </w:p>
    <w:p>
      <w:pPr>
        <w:pStyle w:val="BodyText"/>
      </w:pPr>
      <w:r>
        <w:t xml:space="preserve">6. AUTHORIZED SIGNATORIES</w:t>
      </w:r>
    </w:p>
    <w:p>
      <w:pPr>
        <w:pStyle w:val="BodyText"/>
      </w:pPr>
      <w:r>
        <w:rPr>
          <w:bCs/>
          <w:b/>
        </w:rPr>
        <w:t xml:space="preserve">For and on behalf of the Buyer:</w:t>
      </w:r>
    </w:p>
    <w:p>
      <w:pPr>
        <w:pStyle w:val="BodyText"/>
      </w:pPr>
      <w:r>
        <w:t xml:space="preserve">Gulf Horizon Development LLC</w:t>
      </w:r>
    </w:p>
    <w:p>
      <w:pPr>
        <w:pStyle w:val="BodyText"/>
      </w:pPr>
      <w:r>
        <w:t xml:space="preserve">Name: Ahmed Al Maktoum</w:t>
      </w:r>
      <w:r>
        <w:br/>
      </w:r>
      <w:r>
        <w:t xml:space="preserve">Title: Chief Procurement Officer</w:t>
      </w:r>
      <w:r>
        <w:br/>
      </w:r>
      <w:r>
        <w:t xml:space="preserve">Date: _______________</w:t>
      </w:r>
    </w:p>
    <w:p>
      <w:pPr>
        <w:pStyle w:val="BodyText"/>
      </w:pPr>
      <w:r>
        <w:rPr>
          <w:bCs/>
          <w:b/>
        </w:rPr>
        <w:t xml:space="preserve">For and on behalf of the Supplier:</w:t>
      </w:r>
    </w:p>
    <w:p>
      <w:pPr>
        <w:pStyle w:val="BodyText"/>
      </w:pPr>
      <w:r>
        <w:t xml:space="preserve">Apex Project Management Solutions FZ-LLC</w:t>
      </w:r>
    </w:p>
    <w:p>
      <w:pPr>
        <w:pStyle w:val="BodyText"/>
      </w:pPr>
      <w:r>
        <w:t xml:space="preserve">Name: Sarah Al Farsi</w:t>
      </w:r>
      <w:r>
        <w:br/>
      </w:r>
      <w:r>
        <w:t xml:space="preserve">Title: Managing Director</w:t>
      </w:r>
      <w:r>
        <w:br/>
      </w:r>
      <w:r>
        <w:t xml:space="preserve">Date: _______________</w:t>
      </w:r>
    </w:p>
    <w:p>
      <w:pPr>
        <w:pStyle w:val="BodyText"/>
      </w:pPr>
      <w:r>
        <w:t xml:space="preserve">This Purchase Order (PO-DXB-2025-04782) is a legally binding document issued in the United Arab Emirates Dubai jurisdiction. All references to the Project Manager herein pertain to the individual professional engaged under this Purchase Order for the specified project duration. This document is valid only when signed and stamped by both authorized parties. For queries, contact the Procurement Department at Gulf Horizon Development LLC, Dubai, UAE.</w:t>
      </w:r>
    </w:p>
    <w:p>
      <w:pPr>
        <w:pStyle w:val="BodyText"/>
      </w:pPr>
      <w:r>
        <w:t xml:space="preserve">Document Reference: PO-DXB-2025-04782 | Version 1.0 | Issued: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United Arab Emirates Dubai</dc:title>
  <dc:creator/>
  <dc:language>en</dc:language>
  <cp:keywords/>
  <dcterms:created xsi:type="dcterms:W3CDTF">2026-10-10T03:13:16Z</dcterms:created>
  <dcterms:modified xsi:type="dcterms:W3CDTF">2026-10-10T03:13:16Z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