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tlantic-coast-enterprises-llc"/>
    <w:p>
      <w:pPr>
        <w:pStyle w:val="Heading1"/>
      </w:pPr>
      <w:r>
        <w:t xml:space="preserve">ATLANTIC COAST ENTERPRISES LLC</w:t>
      </w:r>
    </w:p>
    <w:p>
      <w:pPr>
        <w:pStyle w:val="FirstParagraph"/>
      </w:pPr>
      <w:r>
        <w:t xml:space="preserve">1200 Biscayne Boulevard, Suite 2400, United States Miami, FL 33132</w:t>
      </w:r>
    </w:p>
    <w:p>
      <w:pPr>
        <w:pStyle w:val="BodyText"/>
      </w:pPr>
      <w:r>
        <w:t xml:space="preserve">Phone: (305) 555-0147 | Email: procurement@atlanticcoastmiami.com</w:t>
      </w:r>
    </w:p>
    <w:p>
      <w:pPr>
        <w:pStyle w:val="BodyText"/>
      </w:pPr>
      <w:r>
        <w:t xml:space="preserve">Florida Corporation Registration No. P24-0887321 | EIN: 82-4471903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PO-MIA-2025-04782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Location:</w:t>
      </w:r>
      <w:r>
        <w:t xml:space="preserve"> </w:t>
      </w:r>
      <w:r>
        <w:t xml:space="preserve">United States Miami, Florida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Meridian Professional Services Group, Inc.</w:t>
      </w:r>
    </w:p>
    <w:p>
      <w:pPr>
        <w:pStyle w:val="BodyText"/>
      </w:pPr>
      <w:r>
        <w:rPr>
          <w:bCs/>
          <w:b/>
        </w:rPr>
        <w:t xml:space="preserve">Address:</w:t>
      </w:r>
      <w:r>
        <w:t xml:space="preserve"> </w:t>
      </w:r>
      <w:r>
        <w:t xml:space="preserve">8901 NW 36th Street, United States Miami, FL 33166</w:t>
      </w:r>
    </w:p>
    <w:p>
      <w:pPr>
        <w:pStyle w:val="BodyText"/>
      </w:pPr>
      <w:r>
        <w:rPr>
          <w:bCs/>
          <w:b/>
        </w:rPr>
        <w:t xml:space="preserve">Contact:</w:t>
      </w:r>
      <w:r>
        <w:t xml:space="preserve"> </w:t>
      </w:r>
      <w:r>
        <w:t xml:space="preserve">Daniel Reyes, Director of Staffing</w:t>
      </w:r>
    </w:p>
    <w:p>
      <w:pPr>
        <w:pStyle w:val="BodyText"/>
      </w:pPr>
      <w:r>
        <w:rPr>
          <w:bCs/>
          <w:b/>
        </w:rPr>
        <w:t xml:space="preserve">Phone:</w:t>
      </w:r>
      <w:r>
        <w:t xml:space="preserve"> </w:t>
      </w:r>
      <w:r>
        <w:t xml:space="preserve">(305) 555-0293</w:t>
      </w:r>
    </w:p>
    <w:p>
      <w:pPr>
        <w:pStyle w:val="BodyText"/>
      </w:pPr>
      <w:r>
        <w:rPr>
          <w:bCs/>
          <w:b/>
        </w:rPr>
        <w:t xml:space="preserve">Email:</w:t>
      </w:r>
      <w:r>
        <w:t xml:space="preserve"> </w:t>
      </w:r>
      <w:r>
        <w:t xml:space="preserve">d.reyes@meridianmiami.com</w:t>
      </w:r>
    </w:p>
    <w:p>
      <w:pPr>
        <w:pStyle w:val="BodyText"/>
      </w:pPr>
      <w:r>
        <w:rPr>
          <w:bCs/>
          <w:b/>
        </w:rPr>
        <w:t xml:space="preserve">Vendor ID:</w:t>
      </w:r>
      <w:r>
        <w:t xml:space="preserve"> </w:t>
      </w:r>
      <w:r>
        <w:t xml:space="preserve">V-2024-00318</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Operations &amp; Project Delivery</w:t>
      </w:r>
    </w:p>
    <w:p>
      <w:pPr>
        <w:pStyle w:val="BodyText"/>
      </w:pPr>
      <w:r>
        <w:rPr>
          <w:bCs/>
          <w:b/>
        </w:rPr>
        <w:t xml:space="preserve">Requested By:</w:t>
      </w:r>
      <w:r>
        <w:t xml:space="preserve"> </w:t>
      </w:r>
      <w:r>
        <w:t xml:space="preserve">Sandra Whitfield, VP of Operations</w:t>
      </w:r>
    </w:p>
    <w:p>
      <w:pPr>
        <w:pStyle w:val="BodyText"/>
      </w:pPr>
      <w:r>
        <w:rPr>
          <w:bCs/>
          <w:b/>
        </w:rPr>
        <w:t xml:space="preserve">Approved By:</w:t>
      </w:r>
      <w:r>
        <w:t xml:space="preserve"> </w:t>
      </w:r>
      <w:r>
        <w:t xml:space="preserve">Marcus Chen, Chief Financial Officer</w:t>
      </w:r>
    </w:p>
    <w:p>
      <w:pPr>
        <w:pStyle w:val="BodyText"/>
      </w:pPr>
      <w:r>
        <w:rPr>
          <w:bCs/>
          <w:b/>
        </w:rPr>
        <w:t xml:space="preserve">Project Code:</w:t>
      </w:r>
      <w:r>
        <w:t xml:space="preserve"> </w:t>
      </w:r>
      <w:r>
        <w:t xml:space="preserve">PC-MIA-2025-114</w:t>
      </w:r>
    </w:p>
    <w:p>
      <w:pPr>
        <w:pStyle w:val="BodyText"/>
      </w:pPr>
      <w:r>
        <w:rPr>
          <w:bCs/>
          <w:b/>
        </w:rPr>
        <w:t xml:space="preserve">Cost Center:</w:t>
      </w:r>
      <w:r>
        <w:t xml:space="preserve"> </w:t>
      </w:r>
      <w:r>
        <w:t xml:space="preserve">CC-4471-PM</w:t>
      </w:r>
    </w:p>
    <w:bookmarkEnd w:id="23"/>
    <w:bookmarkStart w:id="24" w:name="X04685221fe15bb44c60bb6850eb59fa971d6ede"/>
    <w:p>
      <w:pPr>
        <w:pStyle w:val="Heading2"/>
      </w:pPr>
      <w:r>
        <w:t xml:space="preserve">Description of Services – Project Manager Engagement</w:t>
      </w:r>
    </w:p>
    <w:p>
      <w:pPr>
        <w:pStyle w:val="FirstParagraph"/>
      </w:pPr>
      <w:r>
        <w:t xml:space="preserve">This Purchase Order is issued by Atlantic Coast Enterprises LLC, a Florida-registered corporation headquartered in United States Miami, to formally authorize the procurement of a senior</w:t>
      </w:r>
      <w:r>
        <w:t xml:space="preserve"> </w:t>
      </w:r>
      <w:r>
        <w:t xml:space="preserve">Project Manager</w:t>
      </w:r>
      <w:r>
        <w:t xml:space="preserve"> </w:t>
      </w:r>
      <w:r>
        <w:t xml:space="preserve">to oversee the "Biscayne Bay Mixed-Use Development" initiative. The</w:t>
      </w:r>
      <w:r>
        <w:t xml:space="preserve"> </w:t>
      </w:r>
      <w:r>
        <w:t xml:space="preserve">Project Manager</w:t>
      </w:r>
      <w:r>
        <w:t xml:space="preserve"> </w:t>
      </w:r>
      <w:r>
        <w:t xml:space="preserve">shall be responsible for end-to-end delivery management, stakeholder coordination, budget governance, risk mitigation, and schedule adherence for all construction and development phases conducted within the United States Miami metropolitan area. The engagement is structured as a fixed-term professional services contract with a defined scope of duties aligned with PMI (Project Management Institute) standards and applicable Florida state regulations governing construction project oversight.</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Project Manager</w:t>
            </w:r>
            <w:r>
              <w:t xml:space="preserve"> </w:t>
            </w:r>
            <w:r>
              <w:t xml:space="preserve">– Full-time engagement for Biscayne Bay Mixed-Use Development. Duties include project planning, Gantt chart development, resource allocation, vendor coordination, quality assurance oversight, and weekly progress reporting to the United States Miami project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$148,500.00</w:t>
            </w:r>
          </w:p>
        </w:tc>
        <w:tc>
          <w:tcPr/>
          <w:p>
            <w:pPr>
              <w:pStyle w:val="Compact"/>
              <w:jc w:val="left"/>
            </w:pPr>
            <w:r>
              <w:t xml:space="preserve">$148,500.00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Project Manager</w:t>
            </w:r>
            <w:r>
              <w:t xml:space="preserve"> </w:t>
            </w:r>
            <w:r>
              <w:t xml:space="preserve">Travel &amp; Local Transportation – Coverage of all business travel within the United States Miami-Dade County area, including site inspections at the Biscayne Bay waterfront location, client meetings in downtown Miami, and coordination visits to the Miami-Dade County Building Permit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Project Management Software &amp; Tools License – Enterprise-level project management platform (Primavera P6 / MS Project) subscription, risk management modules, and document control systems assigned to the</w:t>
            </w:r>
            <w:r>
              <w:t xml:space="preserve"> </w:t>
            </w:r>
            <w:r>
              <w:t xml:space="preserve">Project Manager</w:t>
            </w:r>
            <w:r>
              <w:t xml:space="preserve"> </w:t>
            </w:r>
            <w:r>
              <w:t xml:space="preserve">for the duration of the engagement in United States Miami.</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$8,760.00</w:t>
            </w:r>
          </w:p>
        </w:tc>
        <w:tc>
          <w:tcPr/>
          <w:p>
            <w:pPr>
              <w:pStyle w:val="Compact"/>
              <w:jc w:val="left"/>
            </w:pPr>
            <w:r>
              <w:t xml:space="preserve">$8,760.00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Professional Liability &amp; Workers' Compensation Insurance – Coverage for the</w:t>
            </w:r>
            <w:r>
              <w:t xml:space="preserve"> </w:t>
            </w:r>
            <w:r>
              <w:t xml:space="preserve">Project Manager</w:t>
            </w:r>
            <w:r>
              <w:t xml:space="preserve"> </w:t>
            </w:r>
            <w:r>
              <w:t xml:space="preserve">as required under Florida Statute Chapter 448 and applicable United States Miami municipal labor ordinances. Minimum coverage of $2,000,000 per occurrence.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Onboarding, Compliance &amp; Local Permitting Support – Administrative support for the</w:t>
            </w:r>
            <w:r>
              <w:t xml:space="preserve"> </w:t>
            </w:r>
            <w:r>
              <w:t xml:space="preserve">Project Manager</w:t>
            </w:r>
            <w:r>
              <w:t xml:space="preserve">'s onboarding, Florida professional licensing verification, Miami-Dade County business tax receipt registration, and any local United States Miami municipal compliance filings required for the role.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$200,460.00</w:t>
            </w:r>
          </w:p>
        </w:tc>
      </w:tr>
      <w:tr>
        <w:tc>
          <w:tcPr/>
          <w:p>
            <w:pPr>
              <w:pStyle w:val="Compact"/>
              <w:jc w:val="left"/>
            </w:pPr>
            <w:r>
              <w:t xml:space="preserve">Florida State Sales Tax (exempt – professional services)</w:t>
            </w:r>
          </w:p>
        </w:tc>
        <w:tc>
          <w:tcPr/>
          <w:p>
            <w:pPr>
              <w:pStyle w:val="Compact"/>
              <w:jc w:val="right"/>
            </w:pPr>
            <w:r>
              <w:t xml:space="preserve">$0.00</w:t>
            </w:r>
          </w:p>
        </w:tc>
      </w:tr>
      <w:tr>
        <w:tc>
          <w:tcPr/>
          <w:p>
            <w:pPr>
              <w:pStyle w:val="Compact"/>
              <w:jc w:val="left"/>
            </w:pPr>
            <w:r>
              <w:t xml:space="preserve">Miami-Dade County Non-Ad Valorem Tax (applicable)</w:t>
            </w:r>
          </w:p>
        </w:tc>
        <w:tc>
          <w:tcPr/>
          <w:p>
            <w:pPr>
              <w:pStyle w:val="Compact"/>
              <w:jc w:val="right"/>
            </w:pPr>
            <w:r>
              <w:t xml:space="preserve">$3,006.90</w:t>
            </w:r>
          </w:p>
        </w:tc>
      </w:tr>
      <w:tr>
        <w:tc>
          <w:tcPr/>
          <w:p>
            <w:pPr>
              <w:pStyle w:val="Compact"/>
              <w:jc w:val="left"/>
            </w:pPr>
            <w:r>
              <w:t xml:space="preserve">Grand Total (USD)</w:t>
            </w:r>
          </w:p>
        </w:tc>
        <w:tc>
          <w:tcPr/>
          <w:p>
            <w:pPr>
              <w:pStyle w:val="Compact"/>
              <w:jc w:val="right"/>
            </w:pPr>
            <w:r>
              <w:t xml:space="preserve">$203,466.90</w:t>
            </w:r>
          </w:p>
        </w:tc>
      </w:tr>
    </w:tbl>
    <w:bookmarkEnd w:id="25"/>
    <w:bookmarkStart w:id="26" w:name="terms-and-conditions"/>
    <w:p>
      <w:pPr>
        <w:pStyle w:val="Heading2"/>
      </w:pPr>
      <w:r>
        <w:t xml:space="preserve">Terms and Conditions</w:t>
      </w:r>
    </w:p>
    <w:p>
      <w:pPr>
        <w:pStyle w:val="FirstParagraph"/>
      </w:pPr>
      <w:r>
        <w:rPr>
          <w:bCs/>
          <w:b/>
        </w:rPr>
        <w:t xml:space="preserve">1. Scope of Work:</w:t>
      </w:r>
      <w:r>
        <w:t xml:space="preserve"> </w:t>
      </w:r>
      <w:r>
        <w:t xml:space="preserve">The</w:t>
      </w:r>
      <w:r>
        <w:t xml:space="preserve"> </w:t>
      </w:r>
      <w:r>
        <w:t xml:space="preserve">Project Manager</w:t>
      </w:r>
      <w:r>
        <w:t xml:space="preserve"> </w:t>
      </w:r>
      <w:r>
        <w:t xml:space="preserve">engaged under this Purchase Order shall perform all duties in accordance with the Statement of Work (SOW) attached as Exhibit A. The</w:t>
      </w:r>
      <w:r>
        <w:t xml:space="preserve"> </w:t>
      </w:r>
      <w:r>
        <w:t xml:space="preserve">Project Manager</w:t>
      </w:r>
      <w:r>
        <w:t xml:space="preserve"> </w:t>
      </w:r>
      <w:r>
        <w:t xml:space="preserve">shall report directly to the Vice President of Operations at the United States Miami headquarters and shall maintain a minimum of four (4) on-site days per week at the Biscayne Bay project location.</w:t>
      </w:r>
    </w:p>
    <w:p>
      <w:pPr>
        <w:pStyle w:val="BodyText"/>
      </w:pPr>
      <w:r>
        <w:rPr>
          <w:bCs/>
          <w:b/>
        </w:rPr>
        <w:t xml:space="preserve">2. Payment Terms:</w:t>
      </w:r>
      <w:r>
        <w:t xml:space="preserve"> </w:t>
      </w:r>
      <w:r>
        <w:t xml:space="preserve">Invoices shall be submitted monthly in arrears. Payment is due within thirty (30) calendar days of invoice receipt. All payments shall be made in United States Dollars via ACH transfer to the vendor account designated in writing. Late payments shall accrue interest at 1.5% per month as permitted under Florida Statute 559.71.</w:t>
      </w:r>
    </w:p>
    <w:p>
      <w:pPr>
        <w:pStyle w:val="BodyText"/>
      </w:pPr>
      <w:r>
        <w:rPr>
          <w:bCs/>
          <w:b/>
        </w:rPr>
        <w:t xml:space="preserve">3. Performance Standards:</w:t>
      </w:r>
      <w:r>
        <w:t xml:space="preserve"> </w:t>
      </w:r>
      <w:r>
        <w:t xml:space="preserve">The</w:t>
      </w:r>
      <w:r>
        <w:t xml:space="preserve"> </w:t>
      </w:r>
      <w:r>
        <w:t xml:space="preserve">Project Manager</w:t>
      </w:r>
      <w:r>
        <w:t xml:space="preserve"> </w:t>
      </w:r>
      <w:r>
        <w:t xml:space="preserve">shall adhere to PMI's PMBOK Guide (7th Edition) and shall deliver bi-weekly progress reports, monthly budget variance analyses, and quarterly risk register updates. Failure to meet key performance indicators (KPIs) outlined in Exhibit B shall constitute a material breach of this Purchase Order.</w:t>
      </w:r>
    </w:p>
    <w:p>
      <w:pPr>
        <w:pStyle w:val="BodyText"/>
      </w:pPr>
      <w:r>
        <w:rPr>
          <w:bCs/>
          <w:b/>
        </w:rPr>
        <w:t xml:space="preserve">4. Governing Law &amp; Jurisdiction:</w:t>
      </w:r>
      <w:r>
        <w:t xml:space="preserve"> </w:t>
      </w:r>
      <w:r>
        <w:t xml:space="preserve">This Purchase Order shall be governed by and construed in accordance with the laws of the State of Florida. Any disputes arising from this Purchase Order shall be resolved through binding arbitration administered by the American Arbitration Association in United States Miami, Florida, in accordance with its Commercial Arbitration Rules.</w:t>
      </w:r>
    </w:p>
    <w:p>
      <w:pPr>
        <w:pStyle w:val="BodyText"/>
      </w:pPr>
      <w:r>
        <w:rPr>
          <w:bCs/>
          <w:b/>
        </w:rPr>
        <w:t xml:space="preserve">5. Termination:</w:t>
      </w:r>
      <w:r>
        <w:t xml:space="preserve"> </w:t>
      </w:r>
      <w:r>
        <w:t xml:space="preserve">Either party may terminate this Purchase Order with thirty (30) days' written notice. In the event of termination, the</w:t>
      </w:r>
      <w:r>
        <w:t xml:space="preserve"> </w:t>
      </w:r>
      <w:r>
        <w:t xml:space="preserve">Project Manager</w:t>
      </w:r>
      <w:r>
        <w:t xml:space="preserve"> </w:t>
      </w:r>
      <w:r>
        <w:t xml:space="preserve">shall complete a full knowledge transfer and handover of all project documentation, schedules, and correspondence to the United States Miami project team within fifteen (15) business days.</w:t>
      </w:r>
    </w:p>
    <w:p>
      <w:pPr>
        <w:pStyle w:val="BodyText"/>
      </w:pPr>
      <w:r>
        <w:rPr>
          <w:bCs/>
          <w:b/>
        </w:rPr>
        <w:t xml:space="preserve">6. Confidentiality:</w:t>
      </w:r>
      <w:r>
        <w:t xml:space="preserve"> </w:t>
      </w:r>
      <w:r>
        <w:t xml:space="preserve">The</w:t>
      </w:r>
      <w:r>
        <w:t xml:space="preserve"> </w:t>
      </w:r>
      <w:r>
        <w:t xml:space="preserve">Project Manager</w:t>
      </w:r>
      <w:r>
        <w:t xml:space="preserve"> </w:t>
      </w:r>
      <w:r>
        <w:t xml:space="preserve">shall maintain strict confidentiality regarding all proprietary information, client data, and project financials. This obligation shall survive the termination of this Purchase Order for a period of three (3) years.</w:t>
      </w:r>
    </w:p>
    <w:p>
      <w:pPr>
        <w:pStyle w:val="BodyText"/>
      </w:pPr>
      <w:r>
        <w:rPr>
          <w:bCs/>
          <w:b/>
        </w:rPr>
        <w:t xml:space="preserve">7. Compliance:</w:t>
      </w:r>
      <w:r>
        <w:t xml:space="preserve"> </w:t>
      </w:r>
      <w:r>
        <w:t xml:space="preserve">The vendor shall ensure that the</w:t>
      </w:r>
      <w:r>
        <w:t xml:space="preserve"> </w:t>
      </w:r>
      <w:r>
        <w:t xml:space="preserve">Project Manager</w:t>
      </w:r>
      <w:r>
        <w:t xml:space="preserve"> </w:t>
      </w:r>
      <w:r>
        <w:t xml:space="preserve">complies with all applicable federal, state, and local laws, including but not limited to the Florida Building Code, Miami-Dade County zoning ordinances, OSHA regulations, and the Americans with Disabilities Act (ADA).</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hurricanes, tropical storms, or other severe weather events common to the United States Miami region, provided that the affected party gives prompt written notice.</w:t>
      </w:r>
    </w:p>
    <w:bookmarkEnd w:id="26"/>
    <w:bookmarkStart w:id="27" w:name="authorization-signatures"/>
    <w:p>
      <w:pPr>
        <w:pStyle w:val="Heading2"/>
      </w:pPr>
      <w:r>
        <w:t xml:space="preserve">Authorization &amp; Signatures</w:t>
      </w:r>
    </w:p>
    <w:p>
      <w:pPr>
        <w:pStyle w:val="FirstParagraph"/>
      </w:pPr>
      <w:r>
        <w:rPr>
          <w:bCs/>
          <w:b/>
        </w:rPr>
        <w:t xml:space="preserve">Authorized by (Buyer):</w:t>
      </w:r>
    </w:p>
    <w:p>
      <w:pPr>
        <w:pStyle w:val="BodyText"/>
      </w:pPr>
      <w:r>
        <w:t xml:space="preserve">Marcus Chen, Chief Financial Officer</w:t>
      </w:r>
    </w:p>
    <w:p>
      <w:pPr>
        <w:pStyle w:val="BodyText"/>
      </w:pPr>
      <w:r>
        <w:t xml:space="preserve">Atlantic Coast Enterprises LLC</w:t>
      </w:r>
    </w:p>
    <w:p>
      <w:pPr>
        <w:pStyle w:val="BodyText"/>
      </w:pPr>
      <w:r>
        <w:t xml:space="preserve">United States Miami, FL 33132</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Daniel Reyes, Director of Staffing</w:t>
      </w:r>
    </w:p>
    <w:p>
      <w:pPr>
        <w:pStyle w:val="BodyText"/>
      </w:pPr>
      <w:r>
        <w:t xml:space="preserve">Meridian Professional Services Group, Inc.</w:t>
      </w:r>
    </w:p>
    <w:p>
      <w:pPr>
        <w:pStyle w:val="BodyText"/>
      </w:pPr>
      <w:r>
        <w:t xml:space="preserve">United States Miami, FL 33166</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(PO-MIA-2025-04782) is a legally binding document issued by Atlantic Coast Enterprises LLC, United States Miami, Florida. This document is valid only when signed by both parties. Unauthorized reproduction or distribution is prohibited. For questions regarding this Purchase Order or the</w:t>
      </w:r>
      <w:r>
        <w:t xml:space="preserve"> </w:t>
      </w:r>
      <w:r>
        <w:t xml:space="preserve">Project Manager</w:t>
      </w:r>
      <w:r>
        <w:t xml:space="preserve"> </w:t>
      </w:r>
      <w:r>
        <w:t xml:space="preserve">engagement, contact the Procurement Department at (305) 555-0147 or procurement@atlanticcoastmiami.com.</w:t>
      </w:r>
    </w:p>
    <w:p>
      <w:pPr>
        <w:pStyle w:val="BodyText"/>
      </w:pPr>
      <w:r>
        <w:t xml:space="preserve">© 2025 Atlantic Coast Enterprises LLC. All Rights Reserved. Document Reference: PO-MIA-2025-04782 | Version 1.0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United States Miami</dc:title>
  <dc:creator/>
  <dc:language>en</dc:language>
  <cp:keywords/>
  <dcterms:created xsi:type="dcterms:W3CDTF">2026-10-10T07:01:00Z</dcterms:created>
  <dcterms:modified xsi:type="dcterms:W3CDTF">2026-10-10T07:01:00Z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