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Psychiatrist</w:t>
      </w:r>
      <w:r>
        <w:t xml:space="preserve"> </w:t>
      </w:r>
      <w:r>
        <w:t xml:space="preserve">Services</w:t>
      </w:r>
      <w:r>
        <w:t xml:space="preserve"> </w:t>
      </w:r>
      <w:r>
        <w:t xml:space="preserve">-</w:t>
      </w:r>
      <w:r>
        <w:t xml:space="preserve"> </w:t>
      </w:r>
      <w:r>
        <w:t xml:space="preserve">Germany</w:t>
      </w:r>
      <w:r>
        <w:t xml:space="preserve"> </w:t>
      </w:r>
      <w:r>
        <w:t xml:space="preserve">Berlin</w:t>
      </w:r>
    </w:p>
    <w:bookmarkStart w:id="20" w:name="purchase-order"/>
    <w:p>
      <w:pPr>
        <w:pStyle w:val="Heading1"/>
      </w:pPr>
      <w:r>
        <w:t xml:space="preserve">PURCHASE ORDER</w:t>
      </w:r>
    </w:p>
    <w:p>
      <w:pPr>
        <w:pStyle w:val="FirstParagraph"/>
      </w:pPr>
      <w:r>
        <w:t xml:space="preserve">Psychiatrist Professional Services Procurement — Germany Berlin</w:t>
      </w:r>
    </w:p>
    <w:p>
      <w:pPr>
        <w:pStyle w:val="BodyText"/>
      </w:pPr>
      <w:r>
        <w:t xml:space="preserve">PO No. DE-BER-2025-04782</w:t>
      </w:r>
    </w:p>
    <w:bookmarkEnd w:id="20"/>
    <w:p>
      <w:pPr>
        <w:pStyle w:val="BodyText"/>
      </w:pPr>
      <w:r>
        <w:rPr>
          <w:bCs/>
          <w:b/>
        </w:rPr>
        <w:t xml:space="preserve">Purchase Order Number:</w:t>
      </w:r>
      <w:r>
        <w:t xml:space="preserve"> </w:t>
      </w:r>
      <w:r>
        <w:t xml:space="preserve">DE-BER-2025-04782</w:t>
      </w:r>
    </w:p>
    <w:p>
      <w:pPr>
        <w:pStyle w:val="BodyText"/>
      </w:pPr>
      <w:r>
        <w:rPr>
          <w:bCs/>
          <w:b/>
        </w:rPr>
        <w:t xml:space="preserve">Date of Issue:</w:t>
      </w:r>
      <w:r>
        <w:t xml:space="preserve"> </w:t>
      </w:r>
      <w:r>
        <w:t xml:space="preserve">14 June 2025</w:t>
      </w:r>
    </w:p>
    <w:p>
      <w:pPr>
        <w:pStyle w:val="BodyText"/>
      </w:pPr>
      <w:r>
        <w:rPr>
          <w:bCs/>
          <w:b/>
        </w:rPr>
        <w:t xml:space="preserve">Delivery Location:</w:t>
      </w:r>
      <w:r>
        <w:t xml:space="preserve"> </w:t>
      </w:r>
      <w:r>
        <w:t xml:space="preserve">Germany Berlin, 10115</w:t>
      </w:r>
    </w:p>
    <w:p>
      <w:pPr>
        <w:pStyle w:val="BodyText"/>
      </w:pPr>
      <w:r>
        <w:t xml:space="preserve">1. Purchasing Entity (Buyer)</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Organization:</w:t>
            </w:r>
            <w:r>
              <w:t xml:space="preserve"> </w:t>
            </w:r>
            <w:r>
              <w:t xml:space="preserve">Berliner Gesundheitszentrum GmbH</w:t>
            </w:r>
          </w:p>
        </w:tc>
        <w:tc>
          <w:tcPr/>
          <w:p>
            <w:pPr>
              <w:pStyle w:val="Compact"/>
              <w:jc w:val="left"/>
            </w:pPr>
            <w:r>
              <w:rPr>
                <w:bCs/>
                <w:b/>
              </w:rPr>
              <w:t xml:space="preserve">Address:</w:t>
            </w:r>
            <w:r>
              <w:t xml:space="preserve"> </w:t>
            </w:r>
            <w:r>
              <w:t xml:space="preserve">Friedrichstraße 185, 10117 Berlin, Germany</w:t>
            </w:r>
          </w:p>
        </w:tc>
      </w:tr>
      <w:tr>
        <w:tc>
          <w:tcPr/>
          <w:p>
            <w:pPr>
              <w:pStyle w:val="Compact"/>
              <w:jc w:val="left"/>
            </w:pPr>
            <w:r>
              <w:rPr>
                <w:bCs/>
                <w:b/>
              </w:rPr>
              <w:t xml:space="preserve">Contact Person:</w:t>
            </w:r>
            <w:r>
              <w:t xml:space="preserve"> </w:t>
            </w:r>
            <w:r>
              <w:t xml:space="preserve">Dr. Anke Hoffmann, Procurement Director</w:t>
            </w:r>
          </w:p>
        </w:tc>
        <w:tc>
          <w:tcPr/>
          <w:p>
            <w:pPr>
              <w:pStyle w:val="Compact"/>
              <w:jc w:val="left"/>
            </w:pPr>
            <w:r>
              <w:rPr>
                <w:bCs/>
                <w:b/>
              </w:rPr>
              <w:t xml:space="preserve">Phone / Email:</w:t>
            </w:r>
            <w:r>
              <w:t xml:space="preserve"> </w:t>
            </w:r>
            <w:r>
              <w:t xml:space="preserve">+49 30 5550 2210 / procurement@bgz-berlin.de</w:t>
            </w:r>
          </w:p>
        </w:tc>
      </w:tr>
      <w:tr>
        <w:tc>
          <w:tcPr/>
          <w:p>
            <w:pPr>
              <w:pStyle w:val="Compact"/>
              <w:jc w:val="left"/>
            </w:pPr>
            <w:r>
              <w:rPr>
                <w:bCs/>
                <w:b/>
              </w:rPr>
              <w:t xml:space="preserve">VAT ID (USt-IdNr.):</w:t>
            </w:r>
            <w:r>
              <w:t xml:space="preserve"> </w:t>
            </w:r>
            <w:r>
              <w:t xml:space="preserve">DE 312 456 789</w:t>
            </w:r>
          </w:p>
        </w:tc>
        <w:tc>
          <w:tcPr/>
          <w:p>
            <w:pPr>
              <w:pStyle w:val="Compact"/>
              <w:jc w:val="left"/>
            </w:pPr>
            <w:r>
              <w:rPr>
                <w:bCs/>
                <w:b/>
              </w:rPr>
              <w:t xml:space="preserve">Bank / IBAN:</w:t>
            </w:r>
            <w:r>
              <w:t xml:space="preserve"> </w:t>
            </w:r>
            <w:r>
              <w:t xml:space="preserve">Deutsche Bank, DE89 3704 0044 0532 0130 00</w:t>
            </w:r>
          </w:p>
        </w:tc>
      </w:tr>
    </w:tbl>
    <w:p>
      <w:pPr>
        <w:pStyle w:val="BodyText"/>
      </w:pPr>
      <w:r>
        <w:t xml:space="preserve">2. Supplier / Service Provider (Seller)</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Organization:</w:t>
            </w:r>
            <w:r>
              <w:t xml:space="preserve"> </w:t>
            </w:r>
            <w:r>
              <w:t xml:space="preserve">Dr. Markus Steinberg, Facharzt für Psychiatrie und Psychotherapie</w:t>
            </w:r>
          </w:p>
        </w:tc>
        <w:tc>
          <w:tcPr/>
          <w:p>
            <w:pPr>
              <w:pStyle w:val="Compact"/>
              <w:jc w:val="left"/>
            </w:pPr>
            <w:r>
              <w:rPr>
                <w:bCs/>
                <w:b/>
              </w:rPr>
              <w:t xml:space="preserve">Address:</w:t>
            </w:r>
            <w:r>
              <w:t xml:space="preserve"> </w:t>
            </w:r>
            <w:r>
              <w:t xml:space="preserve">Kantstraße 42, 10623 Berlin, Germany</w:t>
            </w:r>
          </w:p>
        </w:tc>
      </w:tr>
      <w:tr>
        <w:tc>
          <w:tcPr/>
          <w:p>
            <w:pPr>
              <w:pStyle w:val="Compact"/>
              <w:jc w:val="left"/>
            </w:pPr>
            <w:r>
              <w:rPr>
                <w:bCs/>
                <w:b/>
              </w:rPr>
              <w:t xml:space="preserve">License No. (Approbation):</w:t>
            </w:r>
            <w:r>
              <w:t xml:space="preserve"> </w:t>
            </w:r>
            <w:r>
              <w:t xml:space="preserve">BÄK-Berlin-PSY-2019-00341</w:t>
            </w:r>
          </w:p>
        </w:tc>
        <w:tc>
          <w:tcPr/>
          <w:p>
            <w:pPr>
              <w:pStyle w:val="Compact"/>
              <w:jc w:val="left"/>
            </w:pPr>
            <w:r>
              <w:rPr>
                <w:bCs/>
                <w:b/>
              </w:rPr>
              <w:t xml:space="preserve">Phone / Email:</w:t>
            </w:r>
            <w:r>
              <w:t xml:space="preserve"> </w:t>
            </w:r>
            <w:r>
              <w:t xml:space="preserve">+49 30 8871 4455 / dr.steinberg@psych-berlin.de</w:t>
            </w:r>
          </w:p>
        </w:tc>
      </w:tr>
      <w:tr>
        <w:tc>
          <w:tcPr/>
          <w:p>
            <w:pPr>
              <w:pStyle w:val="Compact"/>
              <w:jc w:val="left"/>
            </w:pPr>
            <w:r>
              <w:rPr>
                <w:bCs/>
                <w:b/>
              </w:rPr>
              <w:t xml:space="preserve">VAT ID (USt-IdNr.):</w:t>
            </w:r>
            <w:r>
              <w:t xml:space="preserve"> </w:t>
            </w:r>
            <w:r>
              <w:t xml:space="preserve">DE 298 774 102</w:t>
            </w:r>
          </w:p>
        </w:tc>
        <w:tc>
          <w:tcPr/>
          <w:p>
            <w:pPr>
              <w:pStyle w:val="Compact"/>
              <w:jc w:val="left"/>
            </w:pPr>
            <w:r>
              <w:rPr>
                <w:bCs/>
                <w:b/>
              </w:rPr>
              <w:t xml:space="preserve">Specialization:</w:t>
            </w:r>
            <w:r>
              <w:t xml:space="preserve"> </w:t>
            </w:r>
            <w:r>
              <w:t xml:space="preserve">Adult Psychiatry, Psychopharmacology, CBT</w:t>
            </w:r>
          </w:p>
        </w:tc>
      </w:tr>
    </w:tbl>
    <w:p>
      <w:pPr>
        <w:pStyle w:val="BodyText"/>
      </w:pPr>
      <w:r>
        <w:t xml:space="preserve">3. Scope of Purchase Order</w:t>
      </w:r>
    </w:p>
    <w:p>
      <w:pPr>
        <w:pStyle w:val="BodyText"/>
      </w:pPr>
      <w:r>
        <w:t xml:space="preserve">This Purchase Order is issued by Berliner Gesundheitszentrum GmbH for the engagement of a licensed Psychiatrist to provide comprehensive psychiatric consultation, diagnostic assessment, and ongoing therapeutic services to the institution's patient population in Germany Berlin. The Psychiatrist shall operate in accordance with the German Medical Licensing Act (Berufsordnung der Ärztekammer Berlin) and all applicable federal and state regulations governing psychiatric practice in Germany Berlin. All services rendered under this Purchase Order shall be delivered at the designated clinical facility located in the central district of Germany Berlin unless otherwise agreed in writing.</w:t>
      </w:r>
    </w:p>
    <w:p>
      <w:pPr>
        <w:pStyle w:val="BodyText"/>
      </w:pPr>
      <w:r>
        <w:t xml:space="preserve">4. Line Items &amp;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Psychiatrist Service</w:t>
            </w:r>
          </w:p>
        </w:tc>
        <w:tc>
          <w:tcPr/>
          <w:p>
            <w:pPr>
              <w:pStyle w:val="Compact"/>
              <w:jc w:val="left"/>
            </w:pPr>
            <w:r>
              <w:t xml:space="preserve">Frequency</w:t>
            </w:r>
          </w:p>
        </w:tc>
        <w:tc>
          <w:tcPr/>
          <w:p>
            <w:pPr>
              <w:pStyle w:val="Compact"/>
              <w:jc w:val="left"/>
            </w:pPr>
            <w:r>
              <w:t xml:space="preserve">Unit Price (EUR)</w:t>
            </w:r>
          </w:p>
        </w:tc>
        <w:tc>
          <w:tcPr/>
          <w:p>
            <w:pPr>
              <w:pStyle w:val="Compact"/>
              <w:jc w:val="left"/>
            </w:pPr>
            <w:r>
              <w:t xml:space="preserve">Quantity</w:t>
            </w:r>
          </w:p>
        </w:tc>
        <w:tc>
          <w:tcPr/>
          <w:p>
            <w:pPr>
              <w:pStyle w:val="Compact"/>
              <w:jc w:val="left"/>
            </w:pPr>
            <w:r>
              <w:t xml:space="preserve">Amount (EUR)</w:t>
            </w:r>
          </w:p>
        </w:tc>
      </w:tr>
      <w:tr>
        <w:tc>
          <w:tcPr/>
          <w:p>
            <w:pPr>
              <w:pStyle w:val="Compact"/>
              <w:jc w:val="left"/>
            </w:pPr>
            <w:r>
              <w:t xml:space="preserve">01</w:t>
            </w:r>
          </w:p>
        </w:tc>
        <w:tc>
          <w:tcPr/>
          <w:p>
            <w:pPr>
              <w:pStyle w:val="Compact"/>
              <w:jc w:val="left"/>
            </w:pPr>
            <w:r>
              <w:t xml:space="preserve">Initial psychiatric evaluation and diagnostic workup per patient (including anamnesis, mental status examination, and differential diagnosis)</w:t>
            </w:r>
          </w:p>
        </w:tc>
        <w:tc>
          <w:tcPr/>
          <w:p>
            <w:pPr>
              <w:pStyle w:val="Compact"/>
              <w:jc w:val="left"/>
            </w:pPr>
            <w:r>
              <w:t xml:space="preserve">Per session</w:t>
            </w:r>
          </w:p>
        </w:tc>
        <w:tc>
          <w:tcPr/>
          <w:p>
            <w:pPr>
              <w:pStyle w:val="Compact"/>
              <w:jc w:val="left"/>
            </w:pPr>
            <w:r>
              <w:t xml:space="preserve">185.00</w:t>
            </w:r>
          </w:p>
        </w:tc>
        <w:tc>
          <w:tcPr/>
          <w:p>
            <w:pPr>
              <w:pStyle w:val="Compact"/>
              <w:jc w:val="left"/>
            </w:pPr>
            <w:r>
              <w:t xml:space="preserve">120</w:t>
            </w:r>
          </w:p>
        </w:tc>
        <w:tc>
          <w:tcPr/>
          <w:p>
            <w:pPr>
              <w:pStyle w:val="Compact"/>
              <w:jc w:val="left"/>
            </w:pPr>
            <w:r>
              <w:t xml:space="preserve">22,200.00</w:t>
            </w:r>
          </w:p>
        </w:tc>
      </w:tr>
      <w:tr>
        <w:tc>
          <w:tcPr/>
          <w:p>
            <w:pPr>
              <w:pStyle w:val="Compact"/>
              <w:jc w:val="left"/>
            </w:pPr>
            <w:r>
              <w:t xml:space="preserve">02</w:t>
            </w:r>
          </w:p>
        </w:tc>
        <w:tc>
          <w:tcPr/>
          <w:p>
            <w:pPr>
              <w:pStyle w:val="Compact"/>
              <w:jc w:val="left"/>
            </w:pPr>
            <w:r>
              <w:t xml:space="preserve">Follow-up psychiatric consultation and treatment plan review</w:t>
            </w:r>
          </w:p>
        </w:tc>
        <w:tc>
          <w:tcPr/>
          <w:p>
            <w:pPr>
              <w:pStyle w:val="Compact"/>
              <w:jc w:val="left"/>
            </w:pPr>
            <w:r>
              <w:t xml:space="preserve">Per session</w:t>
            </w:r>
          </w:p>
        </w:tc>
        <w:tc>
          <w:tcPr/>
          <w:p>
            <w:pPr>
              <w:pStyle w:val="Compact"/>
              <w:jc w:val="left"/>
            </w:pPr>
            <w:r>
              <w:t xml:space="preserve">120.00</w:t>
            </w:r>
          </w:p>
        </w:tc>
        <w:tc>
          <w:tcPr/>
          <w:p>
            <w:pPr>
              <w:pStyle w:val="Compact"/>
              <w:jc w:val="left"/>
            </w:pPr>
            <w:r>
              <w:t xml:space="preserve">300</w:t>
            </w:r>
          </w:p>
        </w:tc>
        <w:tc>
          <w:tcPr/>
          <w:p>
            <w:pPr>
              <w:pStyle w:val="Compact"/>
              <w:jc w:val="left"/>
            </w:pPr>
            <w:r>
              <w:t xml:space="preserve">36,000.00</w:t>
            </w:r>
          </w:p>
        </w:tc>
      </w:tr>
      <w:tr>
        <w:tc>
          <w:tcPr/>
          <w:p>
            <w:pPr>
              <w:pStyle w:val="Compact"/>
              <w:jc w:val="left"/>
            </w:pPr>
            <w:r>
              <w:t xml:space="preserve">03</w:t>
            </w:r>
          </w:p>
        </w:tc>
        <w:tc>
          <w:tcPr/>
          <w:p>
            <w:pPr>
              <w:pStyle w:val="Compact"/>
              <w:jc w:val="left"/>
            </w:pPr>
            <w:r>
              <w:t xml:space="preserve">Psychopharmacological management and medication adjustment (including prescription issuance under German pharmaceutical regulations)</w:t>
            </w:r>
          </w:p>
        </w:tc>
        <w:tc>
          <w:tcPr/>
          <w:p>
            <w:pPr>
              <w:pStyle w:val="Compact"/>
              <w:jc w:val="left"/>
            </w:pPr>
            <w:r>
              <w:t xml:space="preserve">Per session</w:t>
            </w:r>
          </w:p>
        </w:tc>
        <w:tc>
          <w:tcPr/>
          <w:p>
            <w:pPr>
              <w:pStyle w:val="Compact"/>
              <w:jc w:val="left"/>
            </w:pPr>
            <w:r>
              <w:t xml:space="preserve">95.00</w:t>
            </w:r>
          </w:p>
        </w:tc>
        <w:tc>
          <w:tcPr/>
          <w:p>
            <w:pPr>
              <w:pStyle w:val="Compact"/>
              <w:jc w:val="left"/>
            </w:pPr>
            <w:r>
              <w:t xml:space="preserve">200</w:t>
            </w:r>
          </w:p>
        </w:tc>
        <w:tc>
          <w:tcPr/>
          <w:p>
            <w:pPr>
              <w:pStyle w:val="Compact"/>
              <w:jc w:val="left"/>
            </w:pPr>
            <w:r>
              <w:t xml:space="preserve">19,000.00</w:t>
            </w:r>
          </w:p>
        </w:tc>
      </w:tr>
      <w:tr>
        <w:tc>
          <w:tcPr/>
          <w:p>
            <w:pPr>
              <w:pStyle w:val="Compact"/>
              <w:jc w:val="left"/>
            </w:pPr>
            <w:r>
              <w:t xml:space="preserve">04</w:t>
            </w:r>
          </w:p>
        </w:tc>
        <w:tc>
          <w:tcPr/>
          <w:p>
            <w:pPr>
              <w:pStyle w:val="Compact"/>
              <w:jc w:val="left"/>
            </w:pPr>
            <w:r>
              <w:t xml:space="preserve">Group psychotherapy sessions (Cognitive-Behavioral Therapy) facilitated by the Psychiatrist</w:t>
            </w:r>
          </w:p>
        </w:tc>
        <w:tc>
          <w:tcPr/>
          <w:p>
            <w:pPr>
              <w:pStyle w:val="Compact"/>
              <w:jc w:val="left"/>
            </w:pPr>
            <w:r>
              <w:t xml:space="preserve">Per group session</w:t>
            </w:r>
          </w:p>
        </w:tc>
        <w:tc>
          <w:tcPr/>
          <w:p>
            <w:pPr>
              <w:pStyle w:val="Compact"/>
              <w:jc w:val="left"/>
            </w:pPr>
            <w:r>
              <w:t xml:space="preserve">350.00</w:t>
            </w:r>
          </w:p>
        </w:tc>
        <w:tc>
          <w:tcPr/>
          <w:p>
            <w:pPr>
              <w:pStyle w:val="Compact"/>
              <w:jc w:val="left"/>
            </w:pPr>
            <w:r>
              <w:t xml:space="preserve">48</w:t>
            </w:r>
          </w:p>
        </w:tc>
        <w:tc>
          <w:tcPr/>
          <w:p>
            <w:pPr>
              <w:pStyle w:val="Compact"/>
              <w:jc w:val="left"/>
            </w:pPr>
            <w:r>
              <w:t xml:space="preserve">16,800.00</w:t>
            </w:r>
          </w:p>
        </w:tc>
      </w:tr>
      <w:tr>
        <w:tc>
          <w:tcPr/>
          <w:p>
            <w:pPr>
              <w:pStyle w:val="Compact"/>
              <w:jc w:val="left"/>
            </w:pPr>
            <w:r>
              <w:t xml:space="preserve">05</w:t>
            </w:r>
          </w:p>
        </w:tc>
        <w:tc>
          <w:tcPr/>
          <w:p>
            <w:pPr>
              <w:pStyle w:val="Compact"/>
              <w:jc w:val="left"/>
            </w:pPr>
            <w:r>
              <w:t xml:space="preserve">Emergency psychiatric consultation and crisis intervention (on-call availability, 24/7 coverage in Germany Berlin)</w:t>
            </w:r>
          </w:p>
        </w:tc>
        <w:tc>
          <w:tcPr/>
          <w:p>
            <w:pPr>
              <w:pStyle w:val="Compact"/>
              <w:jc w:val="left"/>
            </w:pPr>
            <w:r>
              <w:t xml:space="preserve">Per call-out</w:t>
            </w:r>
          </w:p>
        </w:tc>
        <w:tc>
          <w:tcPr/>
          <w:p>
            <w:pPr>
              <w:pStyle w:val="Compact"/>
              <w:jc w:val="left"/>
            </w:pPr>
            <w:r>
              <w:t xml:space="preserve">275.00</w:t>
            </w:r>
          </w:p>
        </w:tc>
        <w:tc>
          <w:tcPr/>
          <w:p>
            <w:pPr>
              <w:pStyle w:val="Compact"/>
              <w:jc w:val="left"/>
            </w:pPr>
            <w:r>
              <w:t xml:space="preserve">25</w:t>
            </w:r>
          </w:p>
        </w:tc>
        <w:tc>
          <w:tcPr/>
          <w:p>
            <w:pPr>
              <w:pStyle w:val="Compact"/>
              <w:jc w:val="left"/>
            </w:pPr>
            <w:r>
              <w:t xml:space="preserve">6,875.00</w:t>
            </w:r>
          </w:p>
        </w:tc>
      </w:tr>
      <w:tr>
        <w:tc>
          <w:tcPr/>
          <w:p>
            <w:pPr>
              <w:pStyle w:val="Compact"/>
              <w:jc w:val="left"/>
            </w:pPr>
            <w:r>
              <w:t xml:space="preserve">06</w:t>
            </w:r>
          </w:p>
        </w:tc>
        <w:tc>
          <w:tcPr/>
          <w:p>
            <w:pPr>
              <w:pStyle w:val="Compact"/>
              <w:jc w:val="left"/>
            </w:pPr>
            <w:r>
              <w:t xml:space="preserve">Monthly clinical documentation, progress reports, and interdepartmental case conferences</w:t>
            </w:r>
          </w:p>
        </w:tc>
        <w:tc>
          <w:tcPr/>
          <w:p>
            <w:pPr>
              <w:pStyle w:val="Compact"/>
              <w:jc w:val="left"/>
            </w:pPr>
            <w:r>
              <w:t xml:space="preserve">Monthly</w:t>
            </w:r>
          </w:p>
        </w:tc>
        <w:tc>
          <w:tcPr/>
          <w:p>
            <w:pPr>
              <w:pStyle w:val="Compact"/>
              <w:jc w:val="left"/>
            </w:pPr>
            <w:r>
              <w:t xml:space="preserve">1,200.00</w:t>
            </w:r>
          </w:p>
        </w:tc>
        <w:tc>
          <w:tcPr/>
          <w:p>
            <w:pPr>
              <w:pStyle w:val="Compact"/>
              <w:jc w:val="left"/>
            </w:pPr>
            <w:r>
              <w:t xml:space="preserve">12</w:t>
            </w:r>
          </w:p>
        </w:tc>
        <w:tc>
          <w:tcPr/>
          <w:p>
            <w:pPr>
              <w:pStyle w:val="Compact"/>
              <w:jc w:val="left"/>
            </w:pPr>
            <w:r>
              <w:t xml:space="preserve">14,400.00</w:t>
            </w:r>
          </w:p>
        </w:tc>
      </w:tr>
      <w:tr>
        <w:tc>
          <w:tcPr>
            <w:gridSpan w:val="5"/>
          </w:tcPr>
          <w:p>
            <w:pPr>
              <w:pStyle w:val="Compact"/>
              <w:jc w:val="left"/>
            </w:pPr>
            <w:r>
              <w:t xml:space="preserve">Subtotal (excl. VAT)</w:t>
            </w:r>
          </w:p>
        </w:tc>
        <w:tc>
          <w:tcPr/>
          <w:p>
            <w:pPr>
              <w:pStyle w:val="Compact"/>
              <w:jc w:val="left"/>
            </w:pPr>
            <w:r>
              <w:t xml:space="preserve">115,275.00</w:t>
            </w:r>
          </w:p>
        </w:tc>
      </w:tr>
      <w:tr>
        <w:tc>
          <w:tcPr>
            <w:gridSpan w:val="5"/>
          </w:tcPr>
          <w:p>
            <w:pPr>
              <w:pStyle w:val="Compact"/>
              <w:jc w:val="left"/>
            </w:pPr>
            <w:r>
              <w:t xml:space="preserve">VAT (19% — German standard rate)</w:t>
            </w:r>
          </w:p>
        </w:tc>
        <w:tc>
          <w:tcPr/>
          <w:p>
            <w:pPr>
              <w:pStyle w:val="Compact"/>
              <w:jc w:val="left"/>
            </w:pPr>
            <w:r>
              <w:t xml:space="preserve">21,902.25</w:t>
            </w:r>
          </w:p>
        </w:tc>
      </w:tr>
      <w:tr>
        <w:tc>
          <w:tcPr>
            <w:gridSpan w:val="5"/>
          </w:tcPr>
          <w:p>
            <w:pPr>
              <w:pStyle w:val="Compact"/>
              <w:jc w:val="left"/>
            </w:pPr>
            <w:r>
              <w:rPr>
                <w:bCs/>
                <w:b/>
              </w:rPr>
              <w:t xml:space="preserve">Total Purchase Order Value (incl. VAT)</w:t>
            </w:r>
          </w:p>
        </w:tc>
        <w:tc>
          <w:tcPr/>
          <w:p>
            <w:pPr>
              <w:pStyle w:val="Compact"/>
              <w:jc w:val="left"/>
            </w:pPr>
            <w:r>
              <w:rPr>
                <w:bCs/>
                <w:b/>
              </w:rPr>
              <w:t xml:space="preserve">137,177.25</w:t>
            </w:r>
          </w:p>
        </w:tc>
      </w:tr>
    </w:tbl>
    <w:p>
      <w:pPr>
        <w:pStyle w:val="BodyText"/>
      </w:pPr>
      <w:r>
        <w:t xml:space="preserve">5. Terms and Conditions</w:t>
      </w:r>
    </w:p>
    <w:p>
      <w:pPr>
        <w:numPr>
          <w:ilvl w:val="0"/>
          <w:numId w:val="1001"/>
        </w:numPr>
        <w:pStyle w:val="Compact"/>
      </w:pPr>
      <w:r>
        <w:rPr>
          <w:bCs/>
          <w:b/>
        </w:rPr>
        <w:t xml:space="preserve">Validity:</w:t>
      </w:r>
      <w:r>
        <w:t xml:space="preserve"> </w:t>
      </w:r>
      <w:r>
        <w:t xml:space="preserve">This Purchase Order is valid for a contract period of twelve (12) months commencing on 01 July 2025 and expiring on 30 June 2026, unless terminated earlier by mutual written agreement.</w:t>
      </w:r>
    </w:p>
    <w:p>
      <w:pPr>
        <w:numPr>
          <w:ilvl w:val="0"/>
          <w:numId w:val="1001"/>
        </w:numPr>
        <w:pStyle w:val="Compact"/>
      </w:pPr>
      <w:r>
        <w:rPr>
          <w:bCs/>
          <w:b/>
        </w:rPr>
        <w:t xml:space="preserve">Payment Terms:</w:t>
      </w:r>
      <w:r>
        <w:t xml:space="preserve"> </w:t>
      </w:r>
      <w:r>
        <w:t xml:space="preserve">Invoices shall be submitted monthly by the 5th business day. Payment shall be made within thirty (30) calendar days of invoice receipt via bank transfer to the IBAN specified in Section 2. Late payments shall accrue interest at the statutory rate under German commercial law (BGB § 288).</w:t>
      </w:r>
    </w:p>
    <w:p>
      <w:pPr>
        <w:numPr>
          <w:ilvl w:val="0"/>
          <w:numId w:val="1001"/>
        </w:numPr>
        <w:pStyle w:val="Compact"/>
      </w:pPr>
      <w:r>
        <w:rPr>
          <w:bCs/>
          <w:b/>
        </w:rPr>
        <w:t xml:space="preserve">Compliance:</w:t>
      </w:r>
      <w:r>
        <w:t xml:space="preserve"> </w:t>
      </w:r>
      <w:r>
        <w:t xml:space="preserve">The Psychiatrist shall maintain a valid medical license (Approbation) issued by the Ärztekammer Berlin throughout the entire term of this Purchase Order. All clinical activities must comply with the German Social Code Book V (SGB V), the Patient Rights Act (Patientenrechtegesetz), and data protection regulations under the GDPR and the German Federal Data Protection Act (BDSG).</w:t>
      </w:r>
    </w:p>
    <w:p>
      <w:pPr>
        <w:numPr>
          <w:ilvl w:val="0"/>
          <w:numId w:val="1001"/>
        </w:numPr>
        <w:pStyle w:val="Compact"/>
      </w:pPr>
      <w:r>
        <w:rPr>
          <w:bCs/>
          <w:b/>
        </w:rPr>
        <w:t xml:space="preserve">Confidentiality:</w:t>
      </w:r>
      <w:r>
        <w:t xml:space="preserve"> </w:t>
      </w:r>
      <w:r>
        <w:t xml:space="preserve">All patient records, clinical notes, and diagnostic data generated under this Purchase Order are classified as strictly confidential. The Psychiatrist shall adhere to the professional secrecy obligations (Berufsgeheimnis, § 203 StGB) and shall not disclose any patient information to third parties without explicit written consent, except where mandated by German law.</w:t>
      </w:r>
    </w:p>
    <w:p>
      <w:pPr>
        <w:numPr>
          <w:ilvl w:val="0"/>
          <w:numId w:val="1001"/>
        </w:numPr>
        <w:pStyle w:val="Compact"/>
      </w:pPr>
      <w:r>
        <w:rPr>
          <w:bCs/>
          <w:b/>
        </w:rPr>
        <w:t xml:space="preserve">Insurance:</w:t>
      </w:r>
      <w:r>
        <w:t xml:space="preserve"> </w:t>
      </w:r>
      <w:r>
        <w:t xml:space="preserve">The Psychiatrist shall maintain professional liability insurance (Berufshaftpflichtversicherung) with a minimum coverage of EUR 5,000,000 per claim. A certificate of insurance shall be provided prior to the commencement of services.</w:t>
      </w:r>
    </w:p>
    <w:p>
      <w:pPr>
        <w:numPr>
          <w:ilvl w:val="0"/>
          <w:numId w:val="1001"/>
        </w:numPr>
        <w:pStyle w:val="Compact"/>
      </w:pPr>
      <w:r>
        <w:rPr>
          <w:bCs/>
          <w:b/>
        </w:rPr>
        <w:t xml:space="preserve">Termination:</w:t>
      </w:r>
      <w:r>
        <w:t xml:space="preserve"> </w:t>
      </w:r>
      <w:r>
        <w:t xml:space="preserve">Either party may terminate this Purchase Order with a written notice period of sixty (60) days. In cases of gross professional misconduct or loss of medical licensure, the purchasing entity may terminate immediately without notice.</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Federal Republic of Germany. Any disputes arising herefrom shall be subject to the exclusive jurisdiction of the competent courts in Germany Berlin.</w:t>
      </w:r>
    </w:p>
    <w:p>
      <w:pPr>
        <w:numPr>
          <w:ilvl w:val="0"/>
          <w:numId w:val="1001"/>
        </w:numPr>
        <w:pStyle w:val="Compact"/>
      </w:pPr>
      <w:r>
        <w:rPr>
          <w:bCs/>
          <w:b/>
        </w:rPr>
        <w:t xml:space="preserve">Force Majeure:</w:t>
      </w:r>
      <w:r>
        <w:t xml:space="preserve"> </w:t>
      </w:r>
      <w:r>
        <w:t xml:space="preserve">Neither party shall be liable for delays or failures in performance resulting from events beyond reasonable control, including but not limited to natural disasters, pandemics, or government-mandated closures affecting healthcare operations in Germany Berlin.</w:t>
      </w:r>
    </w:p>
    <w:p>
      <w:pPr>
        <w:pStyle w:val="FirstParagraph"/>
      </w:pPr>
      <w:r>
        <w:t xml:space="preserve">6. Acceptance and Authorization</w:t>
      </w:r>
    </w:p>
    <w:p>
      <w:pPr>
        <w:pStyle w:val="BodyText"/>
      </w:pPr>
      <w:r>
        <w:t xml:space="preserve">By signing below, both parties acknowledge and agree to all terms, conditions, and specifications outlined in this Purchase Order for Psychiatrist services in Germany Berlin. This document constitutes a binding commercial agreement between the parties.</w:t>
      </w:r>
    </w:p>
    <w:p>
      <w:pPr>
        <w:pStyle w:val="BodyText"/>
      </w:pPr>
      <w:r>
        <w:rPr>
          <w:bCs/>
          <w:b/>
        </w:rPr>
        <w:t xml:space="preserve">For Berliner Gesundheitszentrum GmbH</w:t>
      </w:r>
      <w:r>
        <w:br/>
      </w:r>
      <w:r>
        <w:t xml:space="preserve">Dr. Anke Hoffmann</w:t>
      </w:r>
      <w:r>
        <w:br/>
      </w:r>
      <w:r>
        <w:t xml:space="preserve">Procurement Director</w:t>
      </w:r>
      <w:r>
        <w:br/>
      </w:r>
      <w:r>
        <w:t xml:space="preserve">Date: _______________</w:t>
      </w:r>
    </w:p>
    <w:p>
      <w:pPr>
        <w:pStyle w:val="BodyText"/>
      </w:pPr>
      <w:r>
        <w:rPr>
          <w:bCs/>
          <w:b/>
        </w:rPr>
        <w:t xml:space="preserve">For Dr. Markus Steinberg (Psychiatrist)</w:t>
      </w:r>
      <w:r>
        <w:br/>
      </w:r>
      <w:r>
        <w:t xml:space="preserve">Dr. Markus Steinberg</w:t>
      </w:r>
      <w:r>
        <w:br/>
      </w:r>
      <w:r>
        <w:t xml:space="preserve">Facharzt für Psychiatrie</w:t>
      </w:r>
      <w:r>
        <w:br/>
      </w:r>
      <w:r>
        <w:t xml:space="preserve">Date: _______________</w:t>
      </w:r>
    </w:p>
    <w:p>
      <w:pPr>
        <w:pStyle w:val="BodyText"/>
      </w:pPr>
      <w:r>
        <w:t xml:space="preserve">This Purchase Order (DE-BER-2025-04782) was generated for the procurement of Psychiatrist professional services in Germany Berlin.</w:t>
      </w:r>
      <w:r>
        <w:t xml:space="preserve"> </w:t>
      </w:r>
      <w:r>
        <w:t xml:space="preserve">Document reference: BGZ-PO-2025-04782 | Version 1.0 | Confidential — Internal Use Only</w:t>
      </w:r>
      <w:r>
        <w:br/>
      </w:r>
      <w:r>
        <w:t xml:space="preserve">Berliner Gesundheitszentrum GmbH · Friedrichstraße 185, 10117 Berlin, Germany · www.bgz-berlin.de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Psychiatrist Services - Germany Berlin</dc:title>
  <dc:creator/>
  <dc:language>en</dc:language>
  <cp:keywords/>
  <dcterms:created xsi:type="dcterms:W3CDTF">2026-10-10T09:11:42Z</dcterms:created>
  <dcterms:modified xsi:type="dcterms:W3CDTF">2026-10-10T09:11:42Z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