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Tehran,</w:t>
      </w:r>
      <w:r>
        <w:t xml:space="preserve"> </w:t>
      </w:r>
      <w:r>
        <w:t xml:space="preserve">Iran</w:t>
      </w:r>
    </w:p>
    <w:bookmarkStart w:id="20" w:name="purchase-order"/>
    <w:p>
      <w:pPr>
        <w:pStyle w:val="Heading1"/>
      </w:pPr>
      <w:r>
        <w:t xml:space="preserve">PURCHASE ORDER</w:t>
      </w:r>
    </w:p>
    <w:p>
      <w:pPr>
        <w:pStyle w:val="FirstParagraph"/>
      </w:pPr>
      <w:r>
        <w:t xml:space="preserve">Professional Medical Services Procurement Document</w:t>
      </w:r>
    </w:p>
    <w:p>
      <w:pPr>
        <w:pStyle w:val="BodyText"/>
      </w:pPr>
      <w:r>
        <w:t xml:space="preserve">Issued in Tehran, Iran — Islamic Republic of Iran</w:t>
      </w:r>
    </w:p>
    <w:p>
      <w:pPr>
        <w:pStyle w:val="BodyText"/>
      </w:pPr>
      <w:r>
        <w:t xml:space="preserve">PO No: IR-TH-2025-04782</w:t>
      </w:r>
    </w:p>
    <w:bookmarkEnd w:id="20"/>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Tehran Metropolitan Health &amp; Wellness Center</w:t>
      </w:r>
    </w:p>
    <w:p>
      <w:pPr>
        <w:pStyle w:val="BodyText"/>
      </w:pPr>
      <w:r>
        <w:rPr>
          <w:bCs/>
          <w:b/>
        </w:rPr>
        <w:t xml:space="preserve">Address:</w:t>
      </w:r>
      <w:r>
        <w:t xml:space="preserve"> </w:t>
      </w:r>
      <w:r>
        <w:t xml:space="preserve">Vali-e-Asr Street, District 1, Tehran, Iran</w:t>
      </w:r>
    </w:p>
    <w:p>
      <w:pPr>
        <w:pStyle w:val="BodyText"/>
      </w:pPr>
      <w:r>
        <w:rPr>
          <w:bCs/>
          <w:b/>
        </w:rPr>
        <w:t xml:space="preserve">Contact:</w:t>
      </w:r>
      <w:r>
        <w:t xml:space="preserve"> </w:t>
      </w:r>
      <w:r>
        <w:t xml:space="preserve">procurement@tmhwc.ir</w:t>
      </w:r>
    </w:p>
    <w:p>
      <w:pPr>
        <w:pStyle w:val="BodyText"/>
      </w:pPr>
      <w:r>
        <w:rPr>
          <w:bCs/>
          <w:b/>
        </w:rPr>
        <w:t xml:space="preserve">Phone:</w:t>
      </w:r>
      <w:r>
        <w:t xml:space="preserve"> </w:t>
      </w:r>
      <w:r>
        <w:t xml:space="preserve">+98-21-8876-5432</w:t>
      </w:r>
    </w:p>
    <w:p>
      <w:pPr>
        <w:pStyle w:val="BodyText"/>
      </w:pPr>
      <w:r>
        <w:rPr>
          <w:bCs/>
          <w:b/>
        </w:rPr>
        <w:t xml:space="preserve">Tax ID (Shenase Melli):</w:t>
      </w:r>
      <w:r>
        <w:t xml:space="preserve"> </w:t>
      </w:r>
      <w:r>
        <w:t xml:space="preserve">10245876321</w:t>
      </w:r>
    </w:p>
    <w:bookmarkEnd w:id="21"/>
    <w:bookmarkStart w:id="22" w:name="service-provider-vendor"/>
    <w:p>
      <w:pPr>
        <w:pStyle w:val="Heading3"/>
      </w:pPr>
      <w:r>
        <w:t xml:space="preserve">Service Provider (Vendor)</w:t>
      </w:r>
    </w:p>
    <w:p>
      <w:pPr>
        <w:pStyle w:val="FirstParagraph"/>
      </w:pPr>
      <w:r>
        <w:rPr>
          <w:bCs/>
          <w:b/>
        </w:rPr>
        <w:t xml:space="preserve">Psychiatrist:</w:t>
      </w:r>
      <w:r>
        <w:t xml:space="preserve"> </w:t>
      </w:r>
      <w:r>
        <w:t xml:space="preserve">Dr. Saeed Mohammadi, MD, PhD</w:t>
      </w:r>
    </w:p>
    <w:p>
      <w:pPr>
        <w:pStyle w:val="BodyText"/>
      </w:pPr>
      <w:r>
        <w:rPr>
          <w:bCs/>
          <w:b/>
        </w:rPr>
        <w:t xml:space="preserve">Specialty:</w:t>
      </w:r>
      <w:r>
        <w:t xml:space="preserve"> </w:t>
      </w:r>
      <w:r>
        <w:t xml:space="preserve">Clinical Psychiatry &amp; Psychotherapy</w:t>
      </w:r>
    </w:p>
    <w:p>
      <w:pPr>
        <w:pStyle w:val="BodyText"/>
      </w:pPr>
      <w:r>
        <w:rPr>
          <w:bCs/>
          <w:b/>
        </w:rPr>
        <w:t xml:space="preserve">Clinic Address:</w:t>
      </w:r>
      <w:r>
        <w:t xml:space="preserve"> </w:t>
      </w:r>
      <w:r>
        <w:t xml:space="preserve">Enghelab Avenue, District 2, Tehran, Iran</w:t>
      </w:r>
    </w:p>
    <w:p>
      <w:pPr>
        <w:pStyle w:val="BodyText"/>
      </w:pPr>
      <w:r>
        <w:rPr>
          <w:bCs/>
          <w:b/>
        </w:rPr>
        <w:t xml:space="preserve">Medical License No:</w:t>
      </w:r>
      <w:r>
        <w:t xml:space="preserve"> </w:t>
      </w:r>
      <w:r>
        <w:t xml:space="preserve">IR-PSY-2019-44821</w:t>
      </w:r>
    </w:p>
    <w:p>
      <w:pPr>
        <w:pStyle w:val="BodyText"/>
      </w:pPr>
      <w:r>
        <w:rPr>
          <w:bCs/>
          <w:b/>
        </w:rPr>
        <w:t xml:space="preserve">Contact:</w:t>
      </w:r>
      <w:r>
        <w:t xml:space="preserve"> </w:t>
      </w:r>
      <w:r>
        <w:t xml:space="preserve">dr.mohammadi@tehranpsych.ir</w:t>
      </w:r>
    </w:p>
    <w:p>
      <w:pPr>
        <w:pStyle w:val="BodyText"/>
      </w:pPr>
      <w:r>
        <w:rPr>
          <w:bCs/>
          <w:b/>
        </w:rPr>
        <w:t xml:space="preserve">Phone:</w:t>
      </w:r>
      <w:r>
        <w:t xml:space="preserve"> </w:t>
      </w:r>
      <w:r>
        <w:t xml:space="preserve">+98-21-6654-3210</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 (25 Khordad 1404)</w:t>
      </w:r>
    </w:p>
    <w:p>
      <w:pPr>
        <w:pStyle w:val="BodyText"/>
      </w:pPr>
      <w:r>
        <w:rPr>
          <w:bCs/>
          <w:b/>
        </w:rPr>
        <w:t xml:space="preserve">Service Start Date:</w:t>
      </w:r>
      <w:r>
        <w:t xml:space="preserve"> </w:t>
      </w:r>
      <w:r>
        <w:t xml:space="preserve">1 July 2025</w:t>
      </w:r>
    </w:p>
    <w:p>
      <w:pPr>
        <w:pStyle w:val="BodyText"/>
      </w:pPr>
      <w:r>
        <w:rPr>
          <w:bCs/>
          <w:b/>
        </w:rPr>
        <w:t xml:space="preserve">Service End Date:</w:t>
      </w:r>
      <w:r>
        <w:t xml:space="preserve"> </w:t>
      </w:r>
      <w:r>
        <w:t xml:space="preserve">31 December 2025</w:t>
      </w:r>
    </w:p>
    <w:p>
      <w:pPr>
        <w:pStyle w:val="BodyText"/>
      </w:pPr>
      <w:r>
        <w:rPr>
          <w:bCs/>
          <w:b/>
        </w:rPr>
        <w:t xml:space="preserve">Service Location:</w:t>
      </w:r>
      <w:r>
        <w:t xml:space="preserve"> </w:t>
      </w:r>
      <w:r>
        <w:t xml:space="preserve">Tehran, Iran (Primary &amp; Satellite Clinics)</w:t>
      </w:r>
    </w:p>
    <w:p>
      <w:pPr>
        <w:pStyle w:val="BodyText"/>
      </w:pPr>
      <w:r>
        <w:rPr>
          <w:bCs/>
          <w:b/>
        </w:rPr>
        <w:t xml:space="preserve">Currency:</w:t>
      </w:r>
      <w:r>
        <w:t xml:space="preserve"> </w:t>
      </w:r>
      <w:r>
        <w:t xml:space="preserve">Iranian Rial (IRR) / USD equivalent</w:t>
      </w:r>
    </w:p>
    <w:bookmarkEnd w:id="23"/>
    <w:bookmarkStart w:id="24" w:name="payment-terms"/>
    <w:p>
      <w:pPr>
        <w:pStyle w:val="Heading3"/>
      </w:pPr>
      <w:r>
        <w:t xml:space="preserve">Payment Terms</w:t>
      </w:r>
    </w:p>
    <w:p>
      <w:pPr>
        <w:pStyle w:val="FirstParagraph"/>
      </w:pPr>
      <w:r>
        <w:rPr>
          <w:bCs/>
          <w:b/>
        </w:rPr>
        <w:t xml:space="preserve">Payment Method:</w:t>
      </w:r>
      <w:r>
        <w:t xml:space="preserve"> </w:t>
      </w:r>
      <w:r>
        <w:t xml:space="preserve">Bank Transfer (Shetab Network)</w:t>
      </w:r>
    </w:p>
    <w:p>
      <w:pPr>
        <w:pStyle w:val="BodyText"/>
      </w:pPr>
      <w:r>
        <w:rPr>
          <w:bCs/>
          <w:b/>
        </w:rPr>
        <w:t xml:space="preserve">Payment Cycle:</w:t>
      </w:r>
      <w:r>
        <w:t xml:space="preserve"> </w:t>
      </w:r>
      <w:r>
        <w:t xml:space="preserve">Monthly, within 15 business days</w:t>
      </w:r>
    </w:p>
    <w:p>
      <w:pPr>
        <w:pStyle w:val="BodyText"/>
      </w:pPr>
      <w:r>
        <w:rPr>
          <w:bCs/>
          <w:b/>
        </w:rPr>
        <w:t xml:space="preserve">Bank:</w:t>
      </w:r>
      <w:r>
        <w:t xml:space="preserve"> </w:t>
      </w:r>
      <w:r>
        <w:t xml:space="preserve">Bank Melli Iran, Tehran Branch</w:t>
      </w:r>
    </w:p>
    <w:p>
      <w:pPr>
        <w:pStyle w:val="BodyText"/>
      </w:pPr>
      <w:r>
        <w:rPr>
          <w:bCs/>
          <w:b/>
        </w:rPr>
        <w:t xml:space="preserve">Account No:</w:t>
      </w:r>
      <w:r>
        <w:t xml:space="preserve"> </w:t>
      </w:r>
      <w:r>
        <w:t xml:space="preserve">010-1234567890-1</w:t>
      </w:r>
    </w:p>
    <w:p>
      <w:pPr>
        <w:pStyle w:val="BodyText"/>
      </w:pPr>
      <w:r>
        <w:rPr>
          <w:bCs/>
          <w:b/>
        </w:rPr>
        <w:t xml:space="preserve">SWIFT Code:</w:t>
      </w:r>
      <w:r>
        <w:t xml:space="preserve"> </w:t>
      </w:r>
      <w:r>
        <w:t xml:space="preserve">BNIRIRTT</w:t>
      </w:r>
    </w:p>
    <w:bookmarkEnd w:id="24"/>
    <w:bookmarkStart w:id="26" w:name="line-items-psychiatrist-services"/>
    <w:p>
      <w:pPr>
        <w:pStyle w:val="Heading2"/>
      </w:pPr>
      <w:r>
        <w:t xml:space="preserve">Line Items — Psychiatrist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Psychiatrist Service</w:t>
            </w:r>
          </w:p>
        </w:tc>
        <w:tc>
          <w:tcPr/>
          <w:p>
            <w:pPr>
              <w:pStyle w:val="Compact"/>
              <w:jc w:val="left"/>
            </w:pPr>
            <w:r>
              <w:t xml:space="preserve">Frequency</w:t>
            </w:r>
          </w:p>
        </w:tc>
        <w:tc>
          <w:tcPr/>
          <w:p>
            <w:pPr>
              <w:pStyle w:val="Compact"/>
              <w:jc w:val="left"/>
            </w:pPr>
            <w:r>
              <w:t xml:space="preserve">Duration (hrs/session)</w:t>
            </w:r>
          </w:p>
        </w:tc>
        <w:tc>
          <w:tcPr/>
          <w:p>
            <w:pPr>
              <w:pStyle w:val="Compact"/>
              <w:jc w:val="left"/>
            </w:pPr>
            <w:r>
              <w:t xml:space="preserve">Unit Price (IRR)</w:t>
            </w:r>
          </w:p>
        </w:tc>
        <w:tc>
          <w:tcPr/>
          <w:p>
            <w:pPr>
              <w:pStyle w:val="Compact"/>
              <w:jc w:val="left"/>
            </w:pPr>
            <w:r>
              <w:t xml:space="preserve">Monthly Total (IRR)</w:t>
            </w:r>
          </w:p>
        </w:tc>
      </w:tr>
      <w:tr>
        <w:tc>
          <w:tcPr/>
          <w:p>
            <w:pPr>
              <w:pStyle w:val="Compact"/>
              <w:jc w:val="left"/>
            </w:pPr>
            <w:r>
              <w:t xml:space="preserve">01</w:t>
            </w:r>
          </w:p>
        </w:tc>
        <w:tc>
          <w:tcPr/>
          <w:p>
            <w:pPr>
              <w:pStyle w:val="Compact"/>
              <w:jc w:val="left"/>
            </w:pPr>
            <w:r>
              <w:t xml:space="preserve">Individual psychiatric consultation and diagnosis (outpatient, Tehran main clinic)</w:t>
            </w:r>
          </w:p>
        </w:tc>
        <w:tc>
          <w:tcPr/>
          <w:p>
            <w:pPr>
              <w:pStyle w:val="Compact"/>
              <w:jc w:val="left"/>
            </w:pPr>
            <w:r>
              <w:t xml:space="preserve">40 sessions/month</w:t>
            </w:r>
          </w:p>
        </w:tc>
        <w:tc>
          <w:tcPr/>
          <w:p>
            <w:pPr>
              <w:pStyle w:val="Compact"/>
              <w:jc w:val="left"/>
            </w:pPr>
            <w:r>
              <w:t xml:space="preserve">1.0</w:t>
            </w:r>
          </w:p>
        </w:tc>
        <w:tc>
          <w:tcPr/>
          <w:p>
            <w:pPr>
              <w:pStyle w:val="Compact"/>
              <w:jc w:val="left"/>
            </w:pPr>
            <w:r>
              <w:t xml:space="preserve">2,500,000</w:t>
            </w:r>
          </w:p>
        </w:tc>
        <w:tc>
          <w:tcPr/>
          <w:p>
            <w:pPr>
              <w:pStyle w:val="Compact"/>
              <w:jc w:val="left"/>
            </w:pPr>
            <w:r>
              <w:t xml:space="preserve">100,000,000</w:t>
            </w:r>
          </w:p>
        </w:tc>
      </w:tr>
      <w:tr>
        <w:tc>
          <w:tcPr/>
          <w:p>
            <w:pPr>
              <w:pStyle w:val="Compact"/>
              <w:jc w:val="left"/>
            </w:pPr>
            <w:r>
              <w:t xml:space="preserve">02</w:t>
            </w:r>
          </w:p>
        </w:tc>
        <w:tc>
          <w:tcPr/>
          <w:p>
            <w:pPr>
              <w:pStyle w:val="Compact"/>
              <w:jc w:val="left"/>
            </w:pPr>
            <w:r>
              <w:t xml:space="preserve">Group psychotherapy sessions led by the Psychiatrist (Tehran satellite clinic, District 5)</w:t>
            </w:r>
          </w:p>
        </w:tc>
        <w:tc>
          <w:tcPr/>
          <w:p>
            <w:pPr>
              <w:pStyle w:val="Compact"/>
              <w:jc w:val="left"/>
            </w:pPr>
            <w:r>
              <w:t xml:space="preserve">8 sessions/month</w:t>
            </w:r>
          </w:p>
        </w:tc>
        <w:tc>
          <w:tcPr/>
          <w:p>
            <w:pPr>
              <w:pStyle w:val="Compact"/>
              <w:jc w:val="left"/>
            </w:pPr>
            <w:r>
              <w:t xml:space="preserve">2.0</w:t>
            </w:r>
          </w:p>
        </w:tc>
        <w:tc>
          <w:tcPr/>
          <w:p>
            <w:pPr>
              <w:pStyle w:val="Compact"/>
              <w:jc w:val="left"/>
            </w:pPr>
            <w:r>
              <w:t xml:space="preserve">4,000,000</w:t>
            </w:r>
          </w:p>
        </w:tc>
        <w:tc>
          <w:tcPr/>
          <w:p>
            <w:pPr>
              <w:pStyle w:val="Compact"/>
              <w:jc w:val="left"/>
            </w:pPr>
            <w:r>
              <w:t xml:space="preserve">64,000,000</w:t>
            </w:r>
          </w:p>
        </w:tc>
      </w:tr>
      <w:tr>
        <w:tc>
          <w:tcPr/>
          <w:p>
            <w:pPr>
              <w:pStyle w:val="Compact"/>
              <w:jc w:val="left"/>
            </w:pPr>
            <w:r>
              <w:t xml:space="preserve">03</w:t>
            </w:r>
          </w:p>
        </w:tc>
        <w:tc>
          <w:tcPr/>
          <w:p>
            <w:pPr>
              <w:pStyle w:val="Compact"/>
              <w:jc w:val="left"/>
            </w:pPr>
            <w:r>
              <w:t xml:space="preserve">Psychiatric evaluation and clinical report preparation for referred patients</w:t>
            </w:r>
          </w:p>
        </w:tc>
        <w:tc>
          <w:tcPr/>
          <w:p>
            <w:pPr>
              <w:pStyle w:val="Compact"/>
              <w:jc w:val="left"/>
            </w:pPr>
            <w:r>
              <w:t xml:space="preserve">25 reports/month</w:t>
            </w:r>
          </w:p>
        </w:tc>
        <w:tc>
          <w:tcPr/>
          <w:p>
            <w:pPr>
              <w:pStyle w:val="Compact"/>
              <w:jc w:val="left"/>
            </w:pPr>
            <w:r>
              <w:t xml:space="preserve">1.5</w:t>
            </w:r>
          </w:p>
        </w:tc>
        <w:tc>
          <w:tcPr/>
          <w:p>
            <w:pPr>
              <w:pStyle w:val="Compact"/>
              <w:jc w:val="left"/>
            </w:pPr>
            <w:r>
              <w:t xml:space="preserve">3,200,000</w:t>
            </w:r>
          </w:p>
        </w:tc>
        <w:tc>
          <w:tcPr/>
          <w:p>
            <w:pPr>
              <w:pStyle w:val="Compact"/>
              <w:jc w:val="left"/>
            </w:pPr>
            <w:r>
              <w:t xml:space="preserve">120,000,000</w:t>
            </w:r>
          </w:p>
        </w:tc>
      </w:tr>
      <w:tr>
        <w:tc>
          <w:tcPr/>
          <w:p>
            <w:pPr>
              <w:pStyle w:val="Compact"/>
              <w:jc w:val="left"/>
            </w:pPr>
            <w:r>
              <w:t xml:space="preserve">04</w:t>
            </w:r>
          </w:p>
        </w:tc>
        <w:tc>
          <w:tcPr/>
          <w:p>
            <w:pPr>
              <w:pStyle w:val="Compact"/>
              <w:jc w:val="left"/>
            </w:pPr>
            <w:r>
              <w:t xml:space="preserve">Telepsychiatry consultations via secure video platform (serving patients across Tehran metropolitan area)</w:t>
            </w:r>
          </w:p>
        </w:tc>
        <w:tc>
          <w:tcPr/>
          <w:p>
            <w:pPr>
              <w:pStyle w:val="Compact"/>
              <w:jc w:val="left"/>
            </w:pPr>
            <w:r>
              <w:t xml:space="preserve">30 sessions/month</w:t>
            </w:r>
          </w:p>
        </w:tc>
        <w:tc>
          <w:tcPr/>
          <w:p>
            <w:pPr>
              <w:pStyle w:val="Compact"/>
              <w:jc w:val="left"/>
            </w:pPr>
            <w:r>
              <w:t xml:space="preserve">1.0</w:t>
            </w:r>
          </w:p>
        </w:tc>
        <w:tc>
          <w:tcPr/>
          <w:p>
            <w:pPr>
              <w:pStyle w:val="Compact"/>
              <w:jc w:val="left"/>
            </w:pPr>
            <w:r>
              <w:t xml:space="preserve">2,000,000</w:t>
            </w:r>
          </w:p>
        </w:tc>
        <w:tc>
          <w:tcPr/>
          <w:p>
            <w:pPr>
              <w:pStyle w:val="Compact"/>
              <w:jc w:val="left"/>
            </w:pPr>
            <w:r>
              <w:t xml:space="preserve">60,000,000</w:t>
            </w:r>
          </w:p>
        </w:tc>
      </w:tr>
      <w:tr>
        <w:tc>
          <w:tcPr/>
          <w:p>
            <w:pPr>
              <w:pStyle w:val="Compact"/>
              <w:jc w:val="left"/>
            </w:pPr>
            <w:r>
              <w:t xml:space="preserve">05</w:t>
            </w:r>
          </w:p>
        </w:tc>
        <w:tc>
          <w:tcPr/>
          <w:p>
            <w:pPr>
              <w:pStyle w:val="Compact"/>
              <w:jc w:val="left"/>
            </w:pPr>
            <w:r>
              <w:t xml:space="preserve">Emergency psychiatric crisis intervention and on-call availability (24/7 rotation, Tehran)</w:t>
            </w:r>
          </w:p>
        </w:tc>
        <w:tc>
          <w:tcPr/>
          <w:p>
            <w:pPr>
              <w:pStyle w:val="Compact"/>
              <w:jc w:val="left"/>
            </w:pPr>
            <w:r>
              <w:t xml:space="preserve">Monthly retainer</w:t>
            </w:r>
          </w:p>
        </w:tc>
        <w:tc>
          <w:tcPr/>
          <w:p>
            <w:pPr>
              <w:pStyle w:val="Compact"/>
              <w:jc w:val="left"/>
            </w:pPr>
            <w:r>
              <w:t xml:space="preserve">On-call</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06</w:t>
            </w:r>
          </w:p>
        </w:tc>
        <w:tc>
          <w:tcPr/>
          <w:p>
            <w:pPr>
              <w:pStyle w:val="Compact"/>
              <w:jc w:val="left"/>
            </w:pPr>
            <w:r>
              <w:t xml:space="preserve">Staff training and continuing education workshops on psychiatric best practices for Tehran clinic personnel</w:t>
            </w:r>
          </w:p>
        </w:tc>
        <w:tc>
          <w:tcPr/>
          <w:p>
            <w:pPr>
              <w:pStyle w:val="Compact"/>
              <w:jc w:val="left"/>
            </w:pPr>
            <w:r>
              <w:t xml:space="preserve">2 workshops/month</w:t>
            </w:r>
          </w:p>
        </w:tc>
        <w:tc>
          <w:tcPr/>
          <w:p>
            <w:pPr>
              <w:pStyle w:val="Compact"/>
              <w:jc w:val="left"/>
            </w:pPr>
            <w:r>
              <w:t xml:space="preserve">3.0</w:t>
            </w:r>
          </w:p>
        </w:tc>
        <w:tc>
          <w:tcPr/>
          <w:p>
            <w:pPr>
              <w:pStyle w:val="Compact"/>
              <w:jc w:val="left"/>
            </w:pPr>
            <w:r>
              <w:t xml:space="preserve">5,000,000</w:t>
            </w:r>
          </w:p>
        </w:tc>
        <w:tc>
          <w:tcPr/>
          <w:p>
            <w:pPr>
              <w:pStyle w:val="Compact"/>
              <w:jc w:val="left"/>
            </w:pPr>
            <w:r>
              <w:t xml:space="preserve">30,000,000</w:t>
            </w:r>
          </w:p>
        </w:tc>
      </w:tr>
      <w:tr>
        <w:tc>
          <w:tcPr>
            <w:gridSpan w:val="5"/>
          </w:tcPr>
          <w:p>
            <w:pPr>
              <w:pStyle w:val="Compact"/>
              <w:jc w:val="right"/>
            </w:pPr>
            <w:r>
              <w:t xml:space="preserve">TOTAL MONTHLY OBLIGATION:</w:t>
            </w:r>
          </w:p>
        </w:tc>
        <w:tc>
          <w:tcPr/>
          <w:p>
            <w:pPr>
              <w:pStyle w:val="Compact"/>
              <w:jc w:val="left"/>
            </w:pPr>
            <w:r>
              <w:t xml:space="preserve">389,000,000 IRR</w:t>
            </w:r>
          </w:p>
        </w:tc>
      </w:tr>
      <w:tr>
        <w:tc>
          <w:tcPr>
            <w:gridSpan w:val="5"/>
          </w:tcPr>
          <w:p>
            <w:pPr>
              <w:pStyle w:val="Compact"/>
              <w:jc w:val="right"/>
            </w:pPr>
            <w:r>
              <w:t xml:space="preserve">TOTAL ANNUAL OBLIGATION (12 months):</w:t>
            </w:r>
          </w:p>
        </w:tc>
        <w:tc>
          <w:tcPr/>
          <w:p>
            <w:pPr>
              <w:pStyle w:val="Compact"/>
              <w:jc w:val="left"/>
            </w:pPr>
            <w:r>
              <w:t xml:space="preserve">4,668,000,000 IRR</w:t>
            </w: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Tehran Metropolitan Health &amp; Wellness Center and constitutes a binding agreement for the provision of Psychiatrist services within the city of Tehran, Iran, for the period specified above.</w:t>
      </w:r>
    </w:p>
    <w:p>
      <w:pPr>
        <w:numPr>
          <w:ilvl w:val="0"/>
          <w:numId w:val="1001"/>
        </w:numPr>
        <w:pStyle w:val="Compact"/>
      </w:pPr>
      <w:r>
        <w:t xml:space="preserve">The Psychiatrist, Dr. Saeed Mohammadi, shall maintain a valid medical license issued by the Iranian Ministry of Health and Medical Education throughout the duration of this Purchase Order. Any lapse in licensure shall be reported within 48 hours and may result in immediate termination.</w:t>
      </w:r>
    </w:p>
    <w:p>
      <w:pPr>
        <w:numPr>
          <w:ilvl w:val="0"/>
          <w:numId w:val="1001"/>
        </w:numPr>
        <w:pStyle w:val="Compact"/>
      </w:pPr>
      <w:r>
        <w:t xml:space="preserve">All psychiatric services shall be rendered in compliance with the regulations of the Iranian Medical Council and applicable mental health legislation of the Islamic Republic of Iran. Patient confidentiality shall be maintained in accordance with Iranian data protection standards.</w:t>
      </w:r>
    </w:p>
    <w:p>
      <w:pPr>
        <w:numPr>
          <w:ilvl w:val="0"/>
          <w:numId w:val="1001"/>
        </w:numPr>
        <w:pStyle w:val="Compact"/>
      </w:pPr>
      <w:r>
        <w:t xml:space="preserve">The Psychiatrist shall provide all services at the designated locations in Tehran, Iran, as outlined in the line items above. Relocation of service delivery sites requires prior written approval from the Purchasing Entity.</w:t>
      </w:r>
    </w:p>
    <w:p>
      <w:pPr>
        <w:numPr>
          <w:ilvl w:val="0"/>
          <w:numId w:val="1001"/>
        </w:numPr>
        <w:pStyle w:val="Compact"/>
      </w:pPr>
      <w:r>
        <w:t xml:space="preserve">Payment shall be processed monthly via the Shetab banking network. Invoices must be submitted by the 5th of each month for services rendered in the preceding month. Late payments beyond 15 business days shall incur a penalty of 0.5% per day.</w:t>
      </w:r>
    </w:p>
    <w:p>
      <w:pPr>
        <w:numPr>
          <w:ilvl w:val="0"/>
          <w:numId w:val="1001"/>
        </w:numPr>
        <w:pStyle w:val="Compact"/>
      </w:pPr>
      <w:r>
        <w:t xml:space="preserve">This Purchase Order may be terminated by either party with 30 days' written notice. In the event of termination, all services rendered up to the termination date shall be compensated in full.</w:t>
      </w:r>
    </w:p>
    <w:p>
      <w:pPr>
        <w:numPr>
          <w:ilvl w:val="0"/>
          <w:numId w:val="1001"/>
        </w:numPr>
        <w:pStyle w:val="Compact"/>
      </w:pPr>
      <w:r>
        <w:t xml:space="preserve">The Psychiatrist shall maintain professional liability insurance with a minimum coverage of 500,000,000 IRR, valid throughout the contract period in Tehran, Iran.</w:t>
      </w:r>
    </w:p>
    <w:p>
      <w:pPr>
        <w:numPr>
          <w:ilvl w:val="0"/>
          <w:numId w:val="1001"/>
        </w:numPr>
        <w:pStyle w:val="Compact"/>
      </w:pPr>
      <w:r>
        <w:t xml:space="preserve">All clinical records, patient files, and psychiatric reports generated under this Purchase Order shall be stored at the Tehran Metropolitan Health &amp; Wellness Center facility and remain the property of the Purchasing Entity.</w:t>
      </w:r>
    </w:p>
    <w:p>
      <w:pPr>
        <w:numPr>
          <w:ilvl w:val="0"/>
          <w:numId w:val="1001"/>
        </w:numPr>
        <w:pStyle w:val="Compact"/>
      </w:pPr>
      <w:r>
        <w:t xml:space="preserve">Disputes arising from this Purchase Order shall be resolved through the competent courts of Tehran, Iran, in accordance with the Civil Procedure Code of the Islamic Republic of Iran.</w:t>
      </w:r>
    </w:p>
    <w:p>
      <w:pPr>
        <w:numPr>
          <w:ilvl w:val="0"/>
          <w:numId w:val="1001"/>
        </w:numPr>
        <w:pStyle w:val="Compact"/>
      </w:pPr>
      <w:r>
        <w:t xml:space="preserve">This Purchase Order is subject to the general procurement regulations of the Iranian government and any applicable tax obligations under the Iranian tax code.</w:t>
      </w:r>
    </w:p>
    <w:bookmarkEnd w:id="25"/>
    <w:p>
      <w:pPr>
        <w:pStyle w:val="FirstParagraph"/>
      </w:pPr>
      <w:r>
        <w:rPr>
          <w:bCs/>
          <w:b/>
        </w:rPr>
        <w:t xml:space="preserve">Authorized Signatory — Purchasing Entity</w:t>
      </w:r>
    </w:p>
    <w:p>
      <w:pPr>
        <w:pStyle w:val="BodyText"/>
      </w:pPr>
      <w:r>
        <w:t xml:space="preserve">Name: Ms. Fatemeh Rahimi</w:t>
      </w:r>
      <w:r>
        <w:br/>
      </w:r>
      <w:r>
        <w:t xml:space="preserve">Title: Director of Procurement</w:t>
      </w:r>
      <w:r>
        <w:br/>
      </w:r>
      <w:r>
        <w:t xml:space="preserve">Tehran Metropolitan Health &amp; Wellness Center</w:t>
      </w:r>
      <w:r>
        <w:br/>
      </w:r>
      <w:r>
        <w:t xml:space="preserve">Date: _______________</w:t>
      </w:r>
    </w:p>
    <w:p>
      <w:pPr>
        <w:pStyle w:val="BodyText"/>
      </w:pPr>
      <w:r>
        <w:rPr>
          <w:bCs/>
          <w:b/>
        </w:rPr>
        <w:t xml:space="preserve">Authorized Signatory — Psychiatrist / Vendor</w:t>
      </w:r>
    </w:p>
    <w:p>
      <w:pPr>
        <w:pStyle w:val="BodyText"/>
      </w:pPr>
      <w:r>
        <w:t xml:space="preserve">Name: Dr. Saeed Mohammadi, MD, PhD</w:t>
      </w:r>
      <w:r>
        <w:br/>
      </w:r>
      <w:r>
        <w:t xml:space="preserve">Title: Lead Psychiatrist</w:t>
      </w:r>
      <w:r>
        <w:br/>
      </w:r>
      <w:r>
        <w:t xml:space="preserve">Tehran, Iran</w:t>
      </w:r>
      <w:r>
        <w:br/>
      </w:r>
      <w:r>
        <w:t xml:space="preserve">Date: _______________</w:t>
      </w:r>
    </w:p>
    <w:p>
      <w:pPr>
        <w:pStyle w:val="BodyText"/>
      </w:pPr>
      <w:r>
        <w:t xml:space="preserve">This Purchase Order document was prepared and issued in Tehran, Iran. All references to "Iran Tehran" denote the geographic and legal jurisdiction governing this agreement. The Psychiatrist services described herein are subject to the professional standards of the Iranian medical community. Document Reference: PO-IR-TH-2025-04782. For inquiries, contact the Procurement Department at Tehran Metropolitan Health &amp; Wellness Center, Vali-e-Asr Street, Tehran, Iran.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Tehran, Iran</dc:title>
  <dc:creator/>
  <dc:language>en</dc:language>
  <cp:keywords/>
  <dcterms:created xsi:type="dcterms:W3CDTF">2026-10-10T06:27:32Z</dcterms:created>
  <dcterms:modified xsi:type="dcterms:W3CDTF">2026-10-10T06:27:32Z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