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Psychiatrist Professional Services — Malaysia Kuala Lumpur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PO-KL-PSY-2025-00472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Service Start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Malaysian Ringgit (MYR)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Revision:</w:t>
            </w:r>
          </w:p>
        </w:tc>
        <w:tc>
          <w:tcPr/>
          <w:p>
            <w:pPr>
              <w:pStyle w:val="Compact"/>
              <w:jc w:val="left"/>
            </w:pPr>
            <w:r>
              <w:t xml:space="preserve">00 (Original)</w:t>
            </w:r>
          </w:p>
        </w:tc>
      </w:tr>
      <w:tr>
        <w:tc>
          <w:tcPr/>
          <w:p>
            <w:pPr>
              <w:pStyle w:val="Compact"/>
              <w:jc w:val="left"/>
            </w:pPr>
            <w:r>
              <w:t xml:space="preserve">Classification:</w:t>
            </w:r>
          </w:p>
        </w:tc>
        <w:tc>
          <w:tcPr/>
          <w:p>
            <w:pPr>
              <w:pStyle w:val="Compact"/>
              <w:jc w:val="left"/>
            </w:pPr>
            <w:r>
              <w:t xml:space="preserve">Confidential — Medical Services</w:t>
            </w:r>
          </w:p>
        </w:tc>
      </w:tr>
      <w:tr>
        <w:tc>
          <w:tcPr/>
          <w:p>
            <w:pPr>
              <w:pStyle w:val="Compact"/>
              <w:jc w:val="left"/>
            </w:pPr>
            <w:r>
              <w:t xml:space="preserve">Governing Law:</w:t>
            </w:r>
          </w:p>
        </w:tc>
        <w:tc>
          <w:tcPr/>
          <w:p>
            <w:pPr>
              <w:pStyle w:val="Compact"/>
              <w:jc w:val="left"/>
            </w:pPr>
            <w:r>
              <w:t xml:space="preserve">Laws of Malaysia</w:t>
            </w:r>
          </w:p>
        </w:tc>
      </w:tr>
    </w:tbl>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Kuala Lumpur Wellness &amp; Healthcare Group Sdn. Bhd.</w:t>
      </w:r>
    </w:p>
    <w:p>
      <w:pPr>
        <w:pStyle w:val="BodyText"/>
      </w:pPr>
      <w:r>
        <w:rPr>
          <w:bCs/>
          <w:b/>
        </w:rPr>
        <w:t xml:space="preserve">Address:</w:t>
      </w:r>
      <w:r>
        <w:t xml:space="preserve"> </w:t>
      </w:r>
      <w:r>
        <w:t xml:space="preserve">Level 12, Menara Sentral, Jalan Stesen Sentral 5, 50470 Kuala Lumpur, Malaysia</w:t>
      </w:r>
    </w:p>
    <w:p>
      <w:pPr>
        <w:pStyle w:val="BodyText"/>
      </w:pPr>
      <w:r>
        <w:rPr>
          <w:bCs/>
          <w:b/>
        </w:rPr>
        <w:t xml:space="preserve">Registration No.:</w:t>
      </w:r>
      <w:r>
        <w:t xml:space="preserve"> </w:t>
      </w:r>
      <w:r>
        <w:t xml:space="preserve">201901045678 (K)</w:t>
      </w:r>
    </w:p>
    <w:p>
      <w:pPr>
        <w:pStyle w:val="BodyText"/>
      </w:pPr>
      <w:r>
        <w:rPr>
          <w:bCs/>
          <w:b/>
        </w:rPr>
        <w:t xml:space="preserve">Authorised Officer:</w:t>
      </w:r>
      <w:r>
        <w:t xml:space="preserve"> </w:t>
      </w:r>
      <w:r>
        <w:t xml:space="preserve">Dr. Tan Wei Ming, Chief Medical Officer</w:t>
      </w:r>
    </w:p>
    <w:p>
      <w:pPr>
        <w:pStyle w:val="BodyText"/>
      </w:pPr>
      <w:r>
        <w:rPr>
          <w:bCs/>
          <w:b/>
        </w:rPr>
        <w:t xml:space="preserve">Contact:</w:t>
      </w:r>
      <w:r>
        <w:t xml:space="preserve"> </w:t>
      </w:r>
      <w:r>
        <w:t xml:space="preserve">procurement@klwellness.my | +60 3-2181 4567</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Dr. Aisha Rahman &amp; Associates Psychiatry Clinic</w:t>
      </w:r>
    </w:p>
    <w:p>
      <w:pPr>
        <w:pStyle w:val="BodyText"/>
      </w:pPr>
      <w:r>
        <w:rPr>
          <w:bCs/>
          <w:b/>
        </w:rPr>
        <w:t xml:space="preserve">Address:</w:t>
      </w:r>
      <w:r>
        <w:t xml:space="preserve"> </w:t>
      </w:r>
      <w:r>
        <w:t xml:space="preserve">Suite 804, The Gardens Mall, Lingkaran Syed Putra, 59200 Kuala Lumpur, Malaysia</w:t>
      </w:r>
    </w:p>
    <w:p>
      <w:pPr>
        <w:pStyle w:val="BodyText"/>
      </w:pPr>
      <w:r>
        <w:rPr>
          <w:bCs/>
          <w:b/>
        </w:rPr>
        <w:t xml:space="preserve">Registration No.:</w:t>
      </w:r>
      <w:r>
        <w:t xml:space="preserve"> </w:t>
      </w:r>
      <w:r>
        <w:t xml:space="preserve">202101098765 (K)</w:t>
      </w:r>
    </w:p>
    <w:p>
      <w:pPr>
        <w:pStyle w:val="BodyText"/>
      </w:pPr>
      <w:r>
        <w:rPr>
          <w:bCs/>
          <w:b/>
        </w:rPr>
        <w:t xml:space="preserve">Lead Psychiatrist:</w:t>
      </w:r>
      <w:r>
        <w:t xml:space="preserve"> </w:t>
      </w:r>
      <w:r>
        <w:t xml:space="preserve">Dr. Aisha Rahman, MBBS (UK), MRCPsych (UK), MMed (Psychiatry) UPM</w:t>
      </w:r>
    </w:p>
    <w:p>
      <w:pPr>
        <w:pStyle w:val="BodyText"/>
      </w:pPr>
      <w:r>
        <w:rPr>
          <w:bCs/>
          <w:b/>
        </w:rPr>
        <w:t xml:space="preserve">Contact:</w:t>
      </w:r>
      <w:r>
        <w:t xml:space="preserve"> </w:t>
      </w:r>
      <w:r>
        <w:t xml:space="preserve">admin@drarpsychiatry.my | +60 3-7728 9012</w:t>
      </w:r>
    </w:p>
    <w:bookmarkEnd w:id="22"/>
    <w:p>
      <w:pPr>
        <w:pStyle w:val="BodyText"/>
      </w:pPr>
      <w:r>
        <w:t xml:space="preserve">DESCRIPTION OF SERVICES — PSYCHIATRIST ENGAGEMENT</w:t>
      </w:r>
    </w:p>
    <w:p>
      <w:pPr>
        <w:pStyle w:val="BodyText"/>
      </w:pPr>
      <w:r>
        <w:t xml:space="preserve">This</w:t>
      </w:r>
      <w:r>
        <w:t xml:space="preserve"> </w:t>
      </w:r>
      <w:r>
        <w:t xml:space="preserve">Purchase Order</w:t>
      </w:r>
      <w:r>
        <w:t xml:space="preserve"> </w:t>
      </w:r>
      <w:r>
        <w:t xml:space="preserve">is issued by Kuala Lumpur Wellness &amp; Healthcare Group Sdn. Bhd. to formally engage the services of a qualified</w:t>
      </w:r>
      <w:r>
        <w:t xml:space="preserve"> </w:t>
      </w:r>
      <w:r>
        <w:t xml:space="preserve">Psychiatrist</w:t>
      </w:r>
      <w:r>
        <w:t xml:space="preserve"> </w:t>
      </w:r>
      <w:r>
        <w:t xml:space="preserve">and associated clinical team for the provision of comprehensive psychiatric and mental health services within the</w:t>
      </w:r>
      <w:r>
        <w:t xml:space="preserve"> </w:t>
      </w:r>
      <w:r>
        <w:t xml:space="preserve">Malaysia Kuala Lumpur</w:t>
      </w:r>
      <w:r>
        <w:t xml:space="preserve"> </w:t>
      </w:r>
      <w:r>
        <w:t xml:space="preserve">metropolitan area. The engagement is structured under the terms and conditions outlined herein and shall be governed by the Malaysian Medical Council (MMC) regulations, the Mental Health Act 2001 (Act 618), and all applicable federal and state legislation in force in Malaysia.</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Outpatient psychiatric consultation and assessment by a senior Psychiatrist (Dr. Aisha Rahman) for corporate wellness programme participants in Malaysia Kuala Lumpur. Includes initial evaluation, diagnosis, and treatment plan formulation.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Follow-up psychiatric review sessions (minimum 30-minute duration) for ongoing patient management and medication titration. Conducted at the Psychiatry Clinic premises in Kuala Lumpur.</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Psychiatric medication management and prescription services, including quarterly medication review, adverse effect monitoring, and coordination with primary care physicians in the Malaysia Kuala Lumpur healthcare network.</w:t>
            </w:r>
          </w:p>
        </w:tc>
        <w:tc>
          <w:tcPr/>
          <w:p>
            <w:pPr>
              <w:pStyle w:val="Compact"/>
              <w:jc w:val="left"/>
            </w:pPr>
            <w:r>
              <w:t xml:space="preserve">180</w:t>
            </w:r>
          </w:p>
        </w:tc>
        <w:tc>
          <w:tcPr/>
          <w:p>
            <w:pPr>
              <w:pStyle w:val="Compact"/>
              <w:jc w:val="left"/>
            </w:pPr>
            <w:r>
              <w:t xml:space="preserve">Reviews</w:t>
            </w:r>
          </w:p>
        </w:tc>
        <w:tc>
          <w:tcPr/>
          <w:p>
            <w:pPr>
              <w:pStyle w:val="Compact"/>
              <w:jc w:val="left"/>
            </w:pPr>
            <w:r>
              <w:t xml:space="preserve">180.00</w:t>
            </w:r>
          </w:p>
        </w:tc>
        <w:tc>
          <w:tcPr/>
          <w:p>
            <w:pPr>
              <w:pStyle w:val="Compact"/>
              <w:jc w:val="left"/>
            </w:pPr>
            <w:r>
              <w:t xml:space="preserve">32,400.00</w:t>
            </w:r>
          </w:p>
        </w:tc>
      </w:tr>
      <w:tr>
        <w:tc>
          <w:tcPr/>
          <w:p>
            <w:pPr>
              <w:pStyle w:val="Compact"/>
              <w:jc w:val="left"/>
            </w:pPr>
            <w:r>
              <w:t xml:space="preserve">4</w:t>
            </w:r>
          </w:p>
        </w:tc>
        <w:tc>
          <w:tcPr/>
          <w:p>
            <w:pPr>
              <w:pStyle w:val="Compact"/>
              <w:jc w:val="left"/>
            </w:pPr>
            <w:r>
              <w:t xml:space="preserve">Psychological and psychiatric assessment battery administration (including MMSE, PHQ-9, GAD-7, BDI-II, and structured clinical interviews) with written diagnostic reports delivered within 5 working days.</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Emergency psychiatric consultation and crisis intervention services available 24/7 via telehealth and in-person at the Kuala Lumpur clinic. Includes same-day appointment guarantee for acute presentations.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Corporate mental health awareness workshops and psychoeducation seminars delivered by the Psychiatrist and clinical team to employee groups in Malaysia Kuala Lumpur. Maximum 40 attendees per session.</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Confidential medical record management, electronic health record (EHR) integration, and quarterly compliance reporting to the Buyer in accordance with the Personal Data Protection Act 2010 (PDPA) of Malaysia.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8</w:t>
            </w:r>
          </w:p>
        </w:tc>
        <w:tc>
          <w:tcPr/>
          <w:p>
            <w:pPr>
              <w:pStyle w:val="Compact"/>
              <w:jc w:val="left"/>
            </w:pPr>
            <w:r>
              <w:t xml:space="preserve">On-site psychiatric wellness screening at the Buyer's headquarters in Kuala Lumpur, Malaysia. Includes brief mental health check, risk stratification, and referral pathway establishment.</w:t>
            </w:r>
          </w:p>
        </w:tc>
        <w:tc>
          <w:tcPr/>
          <w:p>
            <w:pPr>
              <w:pStyle w:val="Compact"/>
              <w:jc w:val="left"/>
            </w:pPr>
            <w:r>
              <w:t xml:space="preserve">4</w:t>
            </w:r>
          </w:p>
        </w:tc>
        <w:tc>
          <w:tcPr/>
          <w:p>
            <w:pPr>
              <w:pStyle w:val="Compact"/>
              <w:jc w:val="left"/>
            </w:pPr>
            <w:r>
              <w:t xml:space="preserve">On-site Visits</w:t>
            </w:r>
          </w:p>
        </w:tc>
        <w:tc>
          <w:tcPr/>
          <w:p>
            <w:pPr>
              <w:pStyle w:val="Compact"/>
              <w:jc w:val="left"/>
            </w:pPr>
            <w:r>
              <w:t xml:space="preserve">5,000.00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MYR 302,800.00</w:t>
            </w:r>
          </w:p>
        </w:tc>
      </w:tr>
      <w:tr>
        <w:tc>
          <w:tcPr/>
          <w:p>
            <w:pPr>
              <w:pStyle w:val="Compact"/>
              <w:jc w:val="left"/>
            </w:pPr>
            <w:r>
              <w:t xml:space="preserve">SST (6% Service Tax)</w:t>
            </w:r>
          </w:p>
        </w:tc>
        <w:tc>
          <w:tcPr/>
          <w:p>
            <w:pPr>
              <w:pStyle w:val="Compact"/>
              <w:jc w:val="left"/>
            </w:pPr>
            <w:r>
              <w:t xml:space="preserve">MYR 18,168.00</w:t>
            </w:r>
          </w:p>
        </w:tc>
      </w:tr>
      <w:tr>
        <w:tc>
          <w:tcPr/>
          <w:p>
            <w:pPr>
              <w:pStyle w:val="Compact"/>
              <w:jc w:val="left"/>
            </w:pPr>
            <w:r>
              <w:t xml:space="preserve">GRAND TOTAL</w:t>
            </w:r>
          </w:p>
        </w:tc>
        <w:tc>
          <w:tcPr/>
          <w:p>
            <w:pPr>
              <w:pStyle w:val="Compact"/>
              <w:jc w:val="left"/>
            </w:pPr>
            <w:r>
              <w:t xml:space="preserve">MYR 320,968.00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authorises the Seller to provide all psychiatric and mental health services as itemised above. The lead Psychiatrist, Dr. Aisha Rahman, shall be the primary clinical contact and is registered with the Malaysian Medical Council (MMC Registration No. 20120045678). All services shall be rendered in compliance with the Malaysian Medical Council's Code of Ethics and the Mental Health Act 2001.</w:t>
      </w:r>
    </w:p>
    <w:p>
      <w:pPr>
        <w:numPr>
          <w:ilvl w:val="0"/>
          <w:numId w:val="1001"/>
        </w:numPr>
        <w:pStyle w:val="Compact"/>
      </w:pPr>
      <w:r>
        <w:rPr>
          <w:bCs/>
          <w:b/>
        </w:rPr>
        <w:t xml:space="preserve">Service Location:</w:t>
      </w:r>
      <w:r>
        <w:t xml:space="preserve"> </w:t>
      </w:r>
      <w:r>
        <w:t xml:space="preserve">All in-person services shall be conducted at the Seller's registered clinic premises in Kuala Lumpur, Malaysia, or at the Buyer's designated facilities within the Malaysia Kuala Lumpur metropolitan area as mutually agreed in writing. Telehealth consultations shall utilise a HIPAA-equivalent secure platform compliant with Malaysian data protection standards.</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tax invoice from the Seller. Payment shall be made via bank transfer to the Seller's designated account. Late payments shall attract interest at the rate of 5% per annum as stipulated under the Malaysian Contracts Act 1950.</w:t>
      </w:r>
    </w:p>
    <w:p>
      <w:pPr>
        <w:numPr>
          <w:ilvl w:val="0"/>
          <w:numId w:val="1001"/>
        </w:numPr>
        <w:pStyle w:val="Compact"/>
      </w:pPr>
      <w:r>
        <w:rPr>
          <w:bCs/>
          <w:b/>
        </w:rPr>
        <w:t xml:space="preserve">Confidentiality and Data Protection:</w:t>
      </w:r>
      <w:r>
        <w:t xml:space="preserve"> </w:t>
      </w:r>
      <w:r>
        <w:t xml:space="preserve">Both parties acknowledge that all patient information, clinical records, and psychiatric assessments are strictly confidential. The Seller shall comply fully with the Personal Data Protection Act 2010 (Act 709) of Malaysia. No patient data shall be disclosed to third parties without written consent from the patient or a valid court order.</w:t>
      </w:r>
    </w:p>
    <w:p>
      <w:pPr>
        <w:numPr>
          <w:ilvl w:val="0"/>
          <w:numId w:val="1001"/>
        </w:numPr>
        <w:pStyle w:val="Compact"/>
      </w:pPr>
      <w:r>
        <w:rPr>
          <w:bCs/>
          <w:b/>
        </w:rPr>
        <w:t xml:space="preserve">Performance Standards:</w:t>
      </w:r>
      <w:r>
        <w:t xml:space="preserve"> </w:t>
      </w:r>
      <w:r>
        <w:t xml:space="preserve">The Psychiatrist and clinical team shall maintain a minimum 95% appointment fulfilment rate. Cancellations must be communicated to the Buyer no fewer than 24 hours in advance. Failure to meet performance benchmarks for two consecutive quarters shall entitle the Buyer to terminate this Purchase Order with 30 days' written notice.</w:t>
      </w:r>
    </w:p>
    <w:p>
      <w:pPr>
        <w:numPr>
          <w:ilvl w:val="0"/>
          <w:numId w:val="1001"/>
        </w:numPr>
        <w:pStyle w:val="Compact"/>
      </w:pPr>
      <w:r>
        <w:rPr>
          <w:bCs/>
          <w:b/>
        </w:rPr>
        <w:t xml:space="preserve">Insurance and Liability:</w:t>
      </w:r>
      <w:r>
        <w:t xml:space="preserve"> </w:t>
      </w:r>
      <w:r>
        <w:t xml:space="preserve">The Seller shall maintain professional indemnity insurance with a minimum coverage of MYR 2,000,000 per claim, issued by a licensed insurer in Malaysia. The Seller assumes full clinical liability for all psychiatric diagnoses, treatment decisions, and medication prescriptions issued under this Purchase Order.</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Upon termination, the Seller shall complete all in-progress patient care plans and transfer medical records to a successor Psychiatrist nominated by the Buyer within fourteen (14) days.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under the Malaysian Mediation Centre. If unresolved within sixty (60) days, the matter shall be referred to arbitration in Kuala Lumpur, Malaysia, in accordance with the Arbitration Act 2005. The language of arbitration shall be English.</w:t>
      </w:r>
    </w:p>
    <w:p>
      <w:pPr>
        <w:numPr>
          <w:ilvl w:val="0"/>
          <w:numId w:val="1001"/>
        </w:numPr>
        <w:pStyle w:val="Compact"/>
      </w:pPr>
      <w:r>
        <w:rPr>
          <w:bCs/>
          <w:b/>
        </w:rPr>
        <w:t xml:space="preserve">Regulatory Compliance:</w:t>
      </w:r>
      <w:r>
        <w:t xml:space="preserve"> </w:t>
      </w:r>
      <w:r>
        <w:t xml:space="preserve">The Seller warrants that all services provided under this Purchase Order comply with the regulations of the Malaysian Medical Council, the Ministry of Health Malaysia (MOH), and the Malaysian Pharmacy Council where medication dispensation is involved. The Buyer reserves the right to audit compliance records upon 14 days' notice.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public health emergencies as declared by the Malaysian government.</w:t>
      </w:r>
    </w:p>
    <w:p>
      <w:pPr>
        <w:pStyle w:val="FirstParagraph"/>
      </w:pPr>
      <w:r>
        <w:t xml:space="preserve">AUTHORISATION AND ACCEPTANCE</w:t>
      </w:r>
    </w:p>
    <w:p>
      <w:pPr>
        <w:pStyle w:val="BodyText"/>
      </w:pPr>
      <w:r>
        <w:rPr>
          <w:bCs/>
          <w:b/>
        </w:rPr>
        <w:t xml:space="preserve">For and on behalf of the BUYER</w:t>
      </w:r>
    </w:p>
    <w:p>
      <w:pPr>
        <w:pStyle w:val="BodyText"/>
      </w:pPr>
      <w:r>
        <w:t xml:space="preserve">Kuala Lumpur Wellness &amp; Healthcare Group Sdn. Bhd.</w:t>
      </w:r>
    </w:p>
    <w:p>
      <w:pPr>
        <w:pStyle w:val="BodyText"/>
      </w:pPr>
      <w:r>
        <w:t xml:space="preserve">Name: Dr. Tan Wei Ming</w:t>
      </w:r>
    </w:p>
    <w:p>
      <w:pPr>
        <w:pStyle w:val="BodyText"/>
      </w:pPr>
      <w:r>
        <w:t xml:space="preserve">Designation: Chief Medical Officer</w:t>
      </w:r>
    </w:p>
    <w:p>
      <w:pPr>
        <w:pStyle w:val="BodyText"/>
      </w:pPr>
      <w:r>
        <w:t xml:space="preserve">Date: ____________________</w:t>
      </w:r>
    </w:p>
    <w:p>
      <w:pPr>
        <w:pStyle w:val="BodyText"/>
      </w:pPr>
      <w:r>
        <w:rPr>
          <w:bCs/>
          <w:b/>
        </w:rPr>
        <w:t xml:space="preserve">For and on behalf of the SELLER</w:t>
      </w:r>
    </w:p>
    <w:p>
      <w:pPr>
        <w:pStyle w:val="BodyText"/>
      </w:pPr>
      <w:r>
        <w:t xml:space="preserve">Dr. Aisha Rahman &amp; Associates Psychiatry Clinic</w:t>
      </w:r>
    </w:p>
    <w:p>
      <w:pPr>
        <w:pStyle w:val="BodyText"/>
      </w:pPr>
      <w:r>
        <w:t xml:space="preserve">Name: Dr. Aisha Rahman</w:t>
      </w:r>
    </w:p>
    <w:p>
      <w:pPr>
        <w:pStyle w:val="BodyText"/>
      </w:pPr>
      <w:r>
        <w:t xml:space="preserve">Designation: Lead Psychiatrist / Director</w:t>
      </w:r>
    </w:p>
    <w:p>
      <w:pPr>
        <w:pStyle w:val="BodyText"/>
      </w:pPr>
      <w:r>
        <w:t xml:space="preserve">Date: ____________________</w:t>
      </w:r>
    </w:p>
    <w:p>
      <w:pPr>
        <w:pStyle w:val="BodyText"/>
      </w:pPr>
      <w:r>
        <w:t xml:space="preserve">This Purchase Order (PO-KL-PSY-2025-00472) is a confidential document pertaining to psychiatric services in Malaysia Kuala Lumpur. Unauthorised reproduction or distribution is prohibited. © 2025 Kuala Lumpur Wellness &amp; Healthcare Group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Malaysia Kuala Lumpur</dc:title>
  <dc:creator/>
  <dc:language>en</dc:language>
  <cp:keywords/>
  <dcterms:created xsi:type="dcterms:W3CDTF">2026-10-10T08:09:26Z</dcterms:created>
  <dcterms:modified xsi:type="dcterms:W3CDTF">2026-10-10T08:09:26Z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