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Psychiatrist Professional Services — Senegal Dakar</w:t>
      </w:r>
    </w:p>
    <w:p>
      <w:pPr>
        <w:pStyle w:val="BodyText"/>
      </w:pPr>
      <w:r>
        <w:t xml:space="preserve">Document Reference: PO-SEN-DKR-2025-0047</w:t>
      </w:r>
    </w:p>
    <w:bookmarkEnd w:id="20"/>
    <w:p>
      <w:pPr>
        <w:pStyle w:val="BodyText"/>
      </w:pPr>
      <w:r>
        <w:rPr>
          <w:bCs/>
          <w:b/>
        </w:rPr>
        <w:t xml:space="preserve">Purchase Order No.:</w:t>
      </w:r>
      <w:r>
        <w:t xml:space="preserve"> </w:t>
      </w:r>
      <w:r>
        <w:t xml:space="preserve">PO-SEN-DKR-2025-0047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br/>
      </w:r>
      <w:r>
        <w:t xml:space="preserve">Hôpital Général de Grand Dakar</w:t>
      </w:r>
      <w:r>
        <w:br/>
      </w:r>
      <w:r>
        <w:t xml:space="preserve">Avenue Cheikh Anta Diop</w:t>
      </w:r>
      <w:r>
        <w:br/>
      </w:r>
      <w:r>
        <w:t xml:space="preserve">Dakar, Senegal</w:t>
      </w:r>
      <w:r>
        <w:br/>
      </w:r>
      <w:r>
        <w:t xml:space="preserve">Tel: +221 33 864 00 00</w:t>
      </w:r>
      <w:r>
        <w:br/>
      </w:r>
      <w:r>
        <w:t xml:space="preserve">Email: procurement@hgdd.sn</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Awa Ndiaye, MD, PhD —</w:t>
            </w:r>
            <w:r>
              <w:t xml:space="preserve"> </w:t>
            </w:r>
            <w:r>
              <w:t xml:space="preserve">Psychiatrist</w:t>
            </w:r>
          </w:p>
        </w:tc>
      </w:tr>
      <w:tr>
        <w:tc>
          <w:tcPr/>
          <w:p>
            <w:pPr>
              <w:pStyle w:val="Compact"/>
              <w:jc w:val="left"/>
            </w:pPr>
            <w:r>
              <w:t xml:space="preserve">Specialization</w:t>
            </w:r>
          </w:p>
        </w:tc>
        <w:tc>
          <w:tcPr/>
          <w:p>
            <w:pPr>
              <w:pStyle w:val="Compact"/>
              <w:jc w:val="left"/>
            </w:pPr>
            <w:r>
              <w:t xml:space="preserve">Clinical Psychiatry, Psychopharmacology, and Neuropsychiatric Rehabilitation</w:t>
            </w:r>
          </w:p>
        </w:tc>
      </w:tr>
      <w:tr>
        <w:tc>
          <w:tcPr/>
          <w:p>
            <w:pPr>
              <w:pStyle w:val="Compact"/>
              <w:jc w:val="left"/>
            </w:pPr>
            <w:r>
              <w:t xml:space="preserve">Professional License</w:t>
            </w:r>
          </w:p>
        </w:tc>
        <w:tc>
          <w:tcPr/>
          <w:p>
            <w:pPr>
              <w:pStyle w:val="Compact"/>
              <w:jc w:val="left"/>
            </w:pPr>
            <w:r>
              <w:t xml:space="preserve">Ordre des Médecins du Sénégal — License No. OM-2019-4472</w:t>
            </w:r>
          </w:p>
        </w:tc>
      </w:tr>
      <w:tr>
        <w:tc>
          <w:tcPr/>
          <w:p>
            <w:pPr>
              <w:pStyle w:val="Compact"/>
              <w:jc w:val="left"/>
            </w:pPr>
            <w:r>
              <w:t xml:space="preserve">Practice Address</w:t>
            </w:r>
          </w:p>
        </w:tc>
        <w:tc>
          <w:tcPr/>
          <w:p>
            <w:pPr>
              <w:pStyle w:val="Compact"/>
              <w:jc w:val="left"/>
            </w:pPr>
            <w:r>
              <w:t xml:space="preserve">Cabinet de Psychiatrie Ndiaye, Lot 12, Almadies,</w:t>
            </w:r>
            <w:r>
              <w:t xml:space="preserve"> </w:t>
            </w:r>
            <w:r>
              <w:t xml:space="preserve">Senegal Dakar</w:t>
            </w:r>
          </w:p>
        </w:tc>
      </w:tr>
      <w:tr>
        <w:tc>
          <w:tcPr/>
          <w:p>
            <w:pPr>
              <w:pStyle w:val="Compact"/>
              <w:jc w:val="left"/>
            </w:pPr>
            <w:r>
              <w:t xml:space="preserve">Contact</w:t>
            </w:r>
          </w:p>
        </w:tc>
        <w:tc>
          <w:tcPr/>
          <w:p>
            <w:pPr>
              <w:pStyle w:val="Compact"/>
              <w:jc w:val="left"/>
            </w:pPr>
            <w:r>
              <w:t xml:space="preserve">Tel: +221 77 555 12 34 | Email: a.ndiaye@psychiatriedakar.sn</w:t>
            </w:r>
          </w:p>
        </w:tc>
      </w:tr>
      <w:tr>
        <w:tc>
          <w:tcPr/>
          <w:p>
            <w:pPr>
              <w:pStyle w:val="Compact"/>
              <w:jc w:val="left"/>
            </w:pPr>
            <w:r>
              <w:t xml:space="preserve">Tax Identification</w:t>
            </w:r>
          </w:p>
        </w:tc>
        <w:tc>
          <w:tcPr/>
          <w:p>
            <w:pPr>
              <w:pStyle w:val="Compact"/>
              <w:jc w:val="left"/>
            </w:pPr>
            <w:r>
              <w:t xml:space="preserve">NIF: SN-2019-8845210</w:t>
            </w:r>
          </w:p>
        </w:tc>
      </w:tr>
    </w:tbl>
    <w:p>
      <w:pPr>
        <w:pStyle w:val="BodyText"/>
      </w:pPr>
      <w:r>
        <w:t xml:space="preserve">2. Scope of Services — Psychiatrist Engagement</w:t>
      </w:r>
    </w:p>
    <w:p>
      <w:pPr>
        <w:pStyle w:val="BodyText"/>
      </w:pPr>
      <w:r>
        <w:t xml:space="preserve">This</w:t>
      </w:r>
      <w:r>
        <w:t xml:space="preserve"> </w:t>
      </w:r>
      <w:r>
        <w:t xml:space="preserve">Purchase Order</w:t>
      </w:r>
      <w:r>
        <w:t xml:space="preserve"> </w:t>
      </w:r>
      <w:r>
        <w:t xml:space="preserve">is issued by Hôpital Général de Grand Dakar to formally engage the services of the above-named</w:t>
      </w:r>
      <w:r>
        <w:t xml:space="preserve"> </w:t>
      </w:r>
      <w:r>
        <w:t xml:space="preserve">Psychiatrist</w:t>
      </w:r>
      <w:r>
        <w:t xml:space="preserve"> </w:t>
      </w:r>
      <w:r>
        <w:t xml:space="preserve">for the provision of specialized mental health care within the</w:t>
      </w:r>
      <w:r>
        <w:t xml:space="preserve"> </w:t>
      </w:r>
      <w:r>
        <w:t xml:space="preserve">Senegal Dakar</w:t>
      </w:r>
      <w:r>
        <w:t xml:space="preserve"> </w:t>
      </w:r>
      <w:r>
        <w:t xml:space="preserve">metropolitan health district. The engagement covers outpatient consultations, inpatient psychiatric ward supervision, psychopharmacological treatment planning, and multidisciplinary team coordination for a period of twelve (12) months commencing 1 July 2025.</w:t>
      </w:r>
    </w:p>
    <w:p>
      <w:pPr>
        <w:pStyle w:val="BodyText"/>
      </w:pPr>
      <w:r>
        <w:t xml:space="preserve">3. Line Items —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Outpatient psychiatric consultations (individual adult patients) conducted at the Almadies clinic in</w:t>
            </w:r>
            <w:r>
              <w:t xml:space="preserve"> </w:t>
            </w:r>
            <w:r>
              <w:t xml:space="preserve">Senegal Dakar</w:t>
            </w:r>
          </w:p>
        </w:tc>
        <w:tc>
          <w:tcPr/>
          <w:p>
            <w:pPr>
              <w:pStyle w:val="Compact"/>
              <w:jc w:val="left"/>
            </w:pPr>
            <w:r>
              <w:t xml:space="preserve">120 sessions / month</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Inpatient psychiatric ward supervision and daily rounds at Hôpital Général de Grand Dakar</w:t>
            </w:r>
          </w:p>
        </w:tc>
        <w:tc>
          <w:tcPr/>
          <w:p>
            <w:pPr>
              <w:pStyle w:val="Compact"/>
              <w:jc w:val="left"/>
            </w:pPr>
            <w:r>
              <w:t xml:space="preserve">22 days / month</w:t>
            </w:r>
          </w:p>
        </w:tc>
        <w:tc>
          <w:tcPr/>
          <w:p>
            <w:pPr>
              <w:pStyle w:val="Compact"/>
              <w:jc w:val="left"/>
            </w:pPr>
            <w:r>
              <w:t xml:space="preserve">85,000</w:t>
            </w:r>
          </w:p>
        </w:tc>
        <w:tc>
          <w:tcPr/>
          <w:p>
            <w:pPr>
              <w:pStyle w:val="Compact"/>
              <w:jc w:val="left"/>
            </w:pPr>
            <w:r>
              <w:t xml:space="preserve">1,870,000</w:t>
            </w:r>
          </w:p>
        </w:tc>
      </w:tr>
      <w:tr>
        <w:tc>
          <w:tcPr/>
          <w:p>
            <w:pPr>
              <w:pStyle w:val="Compact"/>
              <w:jc w:val="left"/>
            </w:pPr>
            <w:r>
              <w:t xml:space="preserve">03</w:t>
            </w:r>
          </w:p>
        </w:tc>
        <w:tc>
          <w:tcPr/>
          <w:p>
            <w:pPr>
              <w:pStyle w:val="Compact"/>
              <w:jc w:val="left"/>
            </w:pPr>
            <w:r>
              <w:t xml:space="preserve">Psychopharmacological treatment plan development and medication review for chronic psychiatric patients</w:t>
            </w:r>
          </w:p>
        </w:tc>
        <w:tc>
          <w:tcPr/>
          <w:p>
            <w:pPr>
              <w:pStyle w:val="Compact"/>
              <w:jc w:val="left"/>
            </w:pPr>
            <w:r>
              <w:t xml:space="preserve">60 reviews / month</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Multidisciplinary team meetings (psychology, social work, nursing) —</w:t>
            </w:r>
            <w:r>
              <w:t xml:space="preserve"> </w:t>
            </w:r>
            <w:r>
              <w:t xml:space="preserve">Psychiatrist</w:t>
            </w:r>
            <w:r>
              <w:t xml:space="preserve"> </w:t>
            </w:r>
            <w:r>
              <w:t xml:space="preserve">as lead clinician</w:t>
            </w:r>
          </w:p>
        </w:tc>
        <w:tc>
          <w:tcPr/>
          <w:p>
            <w:pPr>
              <w:pStyle w:val="Compact"/>
              <w:jc w:val="left"/>
            </w:pPr>
            <w:r>
              <w:t xml:space="preserve">4 sessions / month</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Emergency psychiatric crisis intervention and on-call availability (24/7 rotation, 1 in 4 weeks)</w:t>
            </w:r>
          </w:p>
        </w:tc>
        <w:tc>
          <w:tcPr/>
          <w:p>
            <w:pPr>
              <w:pStyle w:val="Compact"/>
              <w:jc w:val="left"/>
            </w:pPr>
            <w:r>
              <w:t xml:space="preserve">3 on-call periods / month</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Community mental health outreach programs in the</w:t>
            </w:r>
            <w:r>
              <w:t xml:space="preserve"> </w:t>
            </w:r>
            <w:r>
              <w:t xml:space="preserve">Senegal Dakar</w:t>
            </w:r>
            <w:r>
              <w:t xml:space="preserve"> </w:t>
            </w:r>
            <w:r>
              <w:t xml:space="preserve">peri-urban communes (Rufisque, Guédiawaye, Pikine)</w:t>
            </w:r>
          </w:p>
        </w:tc>
        <w:tc>
          <w:tcPr/>
          <w:p>
            <w:pPr>
              <w:pStyle w:val="Compact"/>
              <w:jc w:val="left"/>
            </w:pPr>
            <w:r>
              <w:t xml:space="preserve">2 programs / month</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Psychiatric assessment reports and medico-legal documentation for court-ordered evaluations</w:t>
            </w:r>
          </w:p>
        </w:tc>
        <w:tc>
          <w:tcPr/>
          <w:p>
            <w:pPr>
              <w:pStyle w:val="Compact"/>
              <w:jc w:val="left"/>
            </w:pPr>
            <w:r>
              <w:t xml:space="preserve">15 reports / month</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08</w:t>
            </w:r>
          </w:p>
        </w:tc>
        <w:tc>
          <w:tcPr/>
          <w:p>
            <w:pPr>
              <w:pStyle w:val="Compact"/>
              <w:jc w:val="left"/>
            </w:pPr>
            <w:r>
              <w:t xml:space="preserve">Continuing medical education and supervision of resident psychiatry fellows</w:t>
            </w:r>
          </w:p>
        </w:tc>
        <w:tc>
          <w:tcPr/>
          <w:p>
            <w:pPr>
              <w:pStyle w:val="Compact"/>
              <w:jc w:val="left"/>
            </w:pPr>
            <w:r>
              <w:t xml:space="preserve">8 hours / month</w:t>
            </w:r>
          </w:p>
        </w:tc>
        <w:tc>
          <w:tcPr/>
          <w:p>
            <w:pPr>
              <w:pStyle w:val="Compact"/>
              <w:jc w:val="left"/>
            </w:pPr>
            <w:r>
              <w:t xml:space="preserve">35,000</w:t>
            </w:r>
          </w:p>
        </w:tc>
        <w:tc>
          <w:tcPr/>
          <w:p>
            <w:pPr>
              <w:pStyle w:val="Compact"/>
              <w:jc w:val="left"/>
            </w:pPr>
            <w:r>
              <w:t xml:space="preserve">280,000</w:t>
            </w:r>
          </w:p>
        </w:tc>
      </w:tr>
      <w:tr>
        <w:tc>
          <w:tcPr>
            <w:gridSpan w:val="4"/>
          </w:tcPr>
          <w:p>
            <w:pPr>
              <w:pStyle w:val="Compact"/>
              <w:jc w:val="left"/>
            </w:pPr>
            <w:r>
              <w:t xml:space="preserve">Monthly Subtotal</w:t>
            </w:r>
          </w:p>
        </w:tc>
        <w:tc>
          <w:tcPr/>
          <w:p>
            <w:pPr>
              <w:pStyle w:val="Compact"/>
              <w:jc w:val="left"/>
            </w:pPr>
            <w:r>
              <w:t xml:space="preserve">8,070,000</w:t>
            </w:r>
          </w:p>
        </w:tc>
      </w:tr>
      <w:tr>
        <w:tc>
          <w:tcPr>
            <w:gridSpan w:val="4"/>
          </w:tcPr>
          <w:p>
            <w:pPr>
              <w:pStyle w:val="Compact"/>
              <w:jc w:val="left"/>
            </w:pPr>
            <w:r>
              <w:t xml:space="preserve">Annual Total (12 months)</w:t>
            </w:r>
          </w:p>
        </w:tc>
        <w:tc>
          <w:tcPr/>
          <w:p>
            <w:pPr>
              <w:pStyle w:val="Compact"/>
              <w:jc w:val="left"/>
            </w:pPr>
            <w:r>
              <w:t xml:space="preserve">96,840,000</w:t>
            </w:r>
          </w:p>
        </w:tc>
      </w:tr>
      <w:tr>
        <w:tc>
          <w:tcPr>
            <w:gridSpan w:val="4"/>
          </w:tcPr>
          <w:p>
            <w:pPr>
              <w:pStyle w:val="Compact"/>
              <w:jc w:val="left"/>
            </w:pPr>
            <w:r>
              <w:t xml:space="preserve">VAT (18% — applicable per Senegalese tax code)</w:t>
            </w:r>
          </w:p>
        </w:tc>
        <w:tc>
          <w:tcPr/>
          <w:p>
            <w:pPr>
              <w:pStyle w:val="Compact"/>
              <w:jc w:val="left"/>
            </w:pPr>
            <w:r>
              <w:t xml:space="preserve">17,431,200</w:t>
            </w:r>
          </w:p>
        </w:tc>
      </w:tr>
      <w:tr>
        <w:tc>
          <w:tcPr>
            <w:gridSpan w:val="4"/>
          </w:tcPr>
          <w:p>
            <w:pPr>
              <w:pStyle w:val="Compact"/>
              <w:jc w:val="left"/>
            </w:pPr>
            <w:r>
              <w:t xml:space="preserve">Grand Total (Annual, VAT inclusive)</w:t>
            </w:r>
          </w:p>
        </w:tc>
        <w:tc>
          <w:tcPr/>
          <w:p>
            <w:pPr>
              <w:pStyle w:val="Compact"/>
              <w:jc w:val="left"/>
            </w:pPr>
            <w:r>
              <w:t xml:space="preserve">114,271,200 XOF</w:t>
            </w:r>
          </w:p>
        </w:tc>
      </w:tr>
    </w:tbl>
    <w:p>
      <w:pPr>
        <w:pStyle w:val="BodyText"/>
      </w:pPr>
      <w:r>
        <w:t xml:space="preserve">4. Payment Terms</w:t>
      </w:r>
    </w:p>
    <w:p>
      <w:pPr>
        <w:pStyle w:val="BodyText"/>
      </w:pPr>
      <w:r>
        <w:t xml:space="preserve">All payments under this</w:t>
      </w:r>
      <w:r>
        <w:t xml:space="preserve"> </w:t>
      </w:r>
      <w:r>
        <w:t xml:space="preserve">Purchase Order</w:t>
      </w:r>
      <w:r>
        <w:t xml:space="preserve"> </w:t>
      </w:r>
      <w:r>
        <w:t xml:space="preserve">shall be processed in West African CFA Francs (XOF) via bank transfer to the account of the</w:t>
      </w:r>
      <w:r>
        <w:t xml:space="preserve"> </w:t>
      </w:r>
      <w:r>
        <w:t xml:space="preserve">Psychiatrist</w:t>
      </w:r>
      <w:r>
        <w:t xml:space="preserve"> </w:t>
      </w:r>
      <w:r>
        <w:t xml:space="preserve">as registered with the Ordre des Médecins du Sénégal. Invoices are to be submitted by the 5th of each month for services rendered in the preceding month. Payment shall be made within thirty (30) calendar days of invoice receipt and verification by the hospital's finance department. Late payments shall accrue interest at the rate of 1.5% per month as stipulated under Senegalese commercial law.</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Hôpital Général de Grand Dakar and the named</w:t>
      </w:r>
      <w:r>
        <w:t xml:space="preserve"> </w:t>
      </w:r>
      <w:r>
        <w:t xml:space="preserve">Psychiatrist</w:t>
      </w:r>
      <w:r>
        <w:t xml:space="preserve"> </w:t>
      </w:r>
      <w:r>
        <w:t xml:space="preserve">for the duration specified herein. Any modification to scope, pricing, or duration must be documented in a written amendment signed by both parties.</w:t>
      </w:r>
    </w:p>
    <w:p>
      <w:pPr>
        <w:numPr>
          <w:ilvl w:val="0"/>
          <w:numId w:val="1001"/>
        </w:numPr>
        <w:pStyle w:val="Compact"/>
      </w:pPr>
      <w:r>
        <w:t xml:space="preserve">The</w:t>
      </w:r>
      <w:r>
        <w:t xml:space="preserve"> </w:t>
      </w:r>
      <w:r>
        <w:t xml:space="preserve">Psychiatrist</w:t>
      </w:r>
      <w:r>
        <w:t xml:space="preserve"> </w:t>
      </w:r>
      <w:r>
        <w:t xml:space="preserve">shall maintain all required professional licenses, malpractice insurance (minimum coverage of 50,000,000 XOF), and continuing education credits as mandated by the Senegalese Ministry of Health and the Ordre des Médecins du Sénégal.</w:t>
      </w:r>
    </w:p>
    <w:p>
      <w:pPr>
        <w:numPr>
          <w:ilvl w:val="0"/>
          <w:numId w:val="1001"/>
        </w:numPr>
        <w:pStyle w:val="Compact"/>
      </w:pPr>
      <w:r>
        <w:t xml:space="preserve">All patient records, clinical notes, and psychiatric assessments generated under this engagement shall be stored in compliance with Senegalese data protection regulations (Loi n° 2008-12 du 25 janvier 2008) and the hospital's internal confidentiality protocols.</w:t>
      </w:r>
    </w:p>
    <w:p>
      <w:pPr>
        <w:numPr>
          <w:ilvl w:val="0"/>
          <w:numId w:val="1001"/>
        </w:numPr>
        <w:pStyle w:val="Compact"/>
      </w:pPr>
      <w:r>
        <w:t xml:space="preserve">The</w:t>
      </w:r>
      <w:r>
        <w:t xml:space="preserve"> </w:t>
      </w:r>
      <w:r>
        <w:t xml:space="preserve">Psychiatrist</w:t>
      </w:r>
      <w:r>
        <w:t xml:space="preserve"> </w:t>
      </w:r>
      <w:r>
        <w:t xml:space="preserve">shall adhere to the ethical standards of the World Psychiatric Association and the Senegalese medical code of conduct. Any breach of patient confidentiality or professional ethics shall constitute grounds for immediate termination of this</w:t>
      </w:r>
      <w:r>
        <w:t xml:space="preserve"> </w:t>
      </w:r>
      <w:r>
        <w:t xml:space="preserve">Purchase Order</w:t>
      </w:r>
      <w:r>
        <w:t xml:space="preserve">.</w:t>
      </w:r>
    </w:p>
    <w:p>
      <w:pPr>
        <w:numPr>
          <w:ilvl w:val="0"/>
          <w:numId w:val="1001"/>
        </w:numPr>
        <w:pStyle w:val="Compact"/>
      </w:pPr>
      <w:r>
        <w:t xml:space="preserve">Services are to be rendered primarily at the Hôpital Général de Grand Dakar facility and the Almadies outpatient clinic, both located within the</w:t>
      </w:r>
      <w:r>
        <w:t xml:space="preserve"> </w:t>
      </w:r>
      <w:r>
        <w:t xml:space="preserve">Senegal Dakar</w:t>
      </w:r>
      <w:r>
        <w:t xml:space="preserve"> </w:t>
      </w:r>
      <w:r>
        <w:t xml:space="preserve">urban health zone. Community outreach activities in surrounding communes require prior written approval from the hospital's medical director.</w:t>
      </w:r>
    </w:p>
    <w:p>
      <w:pPr>
        <w:numPr>
          <w:ilvl w:val="0"/>
          <w:numId w:val="1001"/>
        </w:numPr>
        <w:pStyle w:val="Compact"/>
      </w:pPr>
      <w:r>
        <w:t xml:space="preserve">In the event of force majeure (including but not limited to public health emergencies, civil unrest, or government-mandated closures), either party may suspend obligations under this</w:t>
      </w:r>
      <w:r>
        <w:t xml:space="preserve"> </w:t>
      </w:r>
      <w:r>
        <w:t xml:space="preserve">Purchase Order</w:t>
      </w:r>
      <w:r>
        <w:t xml:space="preserve"> </w:t>
      </w:r>
      <w:r>
        <w:t xml:space="preserve">with 72 hours' written notice. No penalty shall apply during the suspension period.</w:t>
      </w:r>
    </w:p>
    <w:p>
      <w:pPr>
        <w:numPr>
          <w:ilvl w:val="0"/>
          <w:numId w:val="1001"/>
        </w:numPr>
        <w:pStyle w:val="Compact"/>
      </w:pPr>
      <w:r>
        <w:t xml:space="preserve">Disputes arising from this</w:t>
      </w:r>
      <w:r>
        <w:t xml:space="preserve"> </w:t>
      </w:r>
      <w:r>
        <w:t xml:space="preserve">Purchase Order</w:t>
      </w:r>
      <w:r>
        <w:t xml:space="preserve"> </w:t>
      </w:r>
      <w:r>
        <w:t xml:space="preserve">shall first be addressed through good-faith negotiation. If unresolved within thirty (30) days, the matter shall be submitted to the competent commercial court of</w:t>
      </w:r>
      <w:r>
        <w:t xml:space="preserve"> </w:t>
      </w:r>
      <w:r>
        <w:t xml:space="preserve">Senegal Dakar</w:t>
      </w:r>
      <w:r>
        <w:t xml:space="preserve"> </w:t>
      </w:r>
      <w:r>
        <w:t xml:space="preserve">in accordance with the Senegalese Code of Civil Procedure.</w:t>
      </w:r>
    </w:p>
    <w:p>
      <w:pPr>
        <w:numPr>
          <w:ilvl w:val="0"/>
          <w:numId w:val="1001"/>
        </w:numPr>
        <w:pStyle w:val="Compact"/>
      </w:pPr>
      <w:r>
        <w:t xml:space="preserve">The</w:t>
      </w:r>
      <w:r>
        <w:t xml:space="preserve"> </w:t>
      </w:r>
      <w:r>
        <w:t xml:space="preserve">Psychiatrist</w:t>
      </w:r>
      <w:r>
        <w:t xml:space="preserve"> </w:t>
      </w:r>
      <w:r>
        <w:t xml:space="preserve">shall submit a quarterly performance report to the hospital's medical board, detailing patient outcomes, treatment adherence rates, and any adverse events encountered during the reporting period.</w:t>
      </w:r>
    </w:p>
    <w:p>
      <w:pPr>
        <w:numPr>
          <w:ilvl w:val="0"/>
          <w:numId w:val="1001"/>
        </w:numPr>
        <w:pStyle w:val="Compact"/>
      </w:pPr>
      <w:r>
        <w:t xml:space="preserve">This</w:t>
      </w:r>
      <w:r>
        <w:t xml:space="preserve"> </w:t>
      </w:r>
      <w:r>
        <w:t xml:space="preserve">Purchase Order</w:t>
      </w:r>
      <w:r>
        <w:t xml:space="preserve"> </w:t>
      </w:r>
      <w:r>
        <w:t xml:space="preserve">may be terminated by either party with sixty (60) days' written notice. Upon termination, all outstanding invoices for services already rendered shall be settled within the standard payment window.</w:t>
      </w:r>
    </w:p>
    <w:p>
      <w:pPr>
        <w:pStyle w:val="FirstParagraph"/>
      </w:pPr>
      <w:r>
        <w:t xml:space="preserve">6. Authorization and Signatures</w:t>
      </w:r>
    </w:p>
    <w:p>
      <w:pPr>
        <w:pStyle w:val="BodyText"/>
      </w:pPr>
      <w:r>
        <w:rPr>
          <w:bCs/>
          <w:b/>
        </w:rPr>
        <w:t xml:space="preserve">For and on behalf of the Issuing Entity:</w:t>
      </w:r>
    </w:p>
    <w:p>
      <w:pPr>
        <w:pStyle w:val="BodyText"/>
      </w:pPr>
      <w:r>
        <w:t xml:space="preserve">Hôpital Général de Grand Dakar</w:t>
      </w:r>
    </w:p>
    <w:p>
      <w:pPr>
        <w:pStyle w:val="BodyText"/>
      </w:pPr>
      <w:r>
        <w:t xml:space="preserve">Dr. Mamadou Diop</w:t>
      </w:r>
      <w:r>
        <w:br/>
      </w:r>
      <w:r>
        <w:t xml:space="preserve">Director of Medical Services</w:t>
      </w:r>
      <w:r>
        <w:br/>
      </w:r>
      <w:r>
        <w:t xml:space="preserve">Date: _______________</w:t>
      </w:r>
    </w:p>
    <w:p>
      <w:pPr>
        <w:pStyle w:val="BodyText"/>
      </w:pPr>
      <w:r>
        <w:rPr>
          <w:bCs/>
          <w:b/>
        </w:rPr>
        <w:t xml:space="preserve">Accepted by the Service Provider:</w:t>
      </w:r>
    </w:p>
    <w:p>
      <w:pPr>
        <w:pStyle w:val="BodyText"/>
      </w:pPr>
      <w:r>
        <w:t xml:space="preserve">Psychiatrist</w:t>
      </w:r>
      <w:r>
        <w:t xml:space="preserve"> </w:t>
      </w:r>
      <w:r>
        <w:t xml:space="preserve">— Dr. Awa Ndiaye</w:t>
      </w:r>
    </w:p>
    <w:p>
      <w:pPr>
        <w:pStyle w:val="BodyText"/>
      </w:pPr>
      <w:r>
        <w:t xml:space="preserve">Dr. Awa Ndiaye, MD, PhD</w:t>
      </w:r>
      <w:r>
        <w:br/>
      </w:r>
      <w:r>
        <w:t xml:space="preserve">Clinical Psychiatrist</w:t>
      </w:r>
      <w:r>
        <w:br/>
      </w:r>
      <w:r>
        <w:t xml:space="preserve">Date: _______________</w:t>
      </w:r>
    </w:p>
    <w:p>
      <w:pPr>
        <w:pStyle w:val="BodyText"/>
      </w:pPr>
      <w:r>
        <w:t xml:space="preserve">This</w:t>
      </w:r>
      <w:r>
        <w:t xml:space="preserve"> </w:t>
      </w:r>
      <w:r>
        <w:t xml:space="preserve">Purchase Order</w:t>
      </w:r>
      <w:r>
        <w:t xml:space="preserve"> </w:t>
      </w:r>
      <w:r>
        <w:t xml:space="preserve">(PO-SEN-DKR-2025-0047) was prepared and issued in</w:t>
      </w:r>
      <w:r>
        <w:t xml:space="preserve"> </w:t>
      </w:r>
      <w:r>
        <w:t xml:space="preserve">Senegal Dakar</w:t>
      </w:r>
      <w:r>
        <w:t xml:space="preserve"> </w:t>
      </w:r>
      <w:r>
        <w:t xml:space="preserve">in accordance with the procurement regulations of the Senegalese public health sector. All references to the</w:t>
      </w:r>
      <w:r>
        <w:t xml:space="preserve"> </w:t>
      </w:r>
      <w:r>
        <w:t xml:space="preserve">Psychiatrist</w:t>
      </w:r>
      <w:r>
        <w:t xml:space="preserve"> </w:t>
      </w:r>
      <w:r>
        <w:t xml:space="preserve">herein pertain to the licensed professional identified in Section 1. This document is valid only when bearing the official seal of Hôpital Général de Grand Dakar and the handwritten signatures of both authorized parties.</w:t>
      </w:r>
    </w:p>
    <w:p>
      <w:pPr>
        <w:pStyle w:val="BodyText"/>
      </w:pPr>
      <w:r>
        <w:t xml:space="preserve">© 2025 Hôpital Général de Grand Dakar — Procurement &amp; Supply Chain Department —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Senegal Dakar</dc:title>
  <dc:creator/>
  <dc:language>en</dc:language>
  <cp:keywords/>
  <dcterms:created xsi:type="dcterms:W3CDTF">2026-10-10T03:42:45Z</dcterms:created>
  <dcterms:modified xsi:type="dcterms:W3CDTF">2026-10-10T03:42:45Z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