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Turkey</w:t>
      </w:r>
      <w:r>
        <w:t xml:space="preserve"> </w:t>
      </w:r>
      <w:r>
        <w:t xml:space="preserve">Istanbul</w:t>
      </w:r>
    </w:p>
    <w:bookmarkStart w:id="20" w:name="purchase-order"/>
    <w:p>
      <w:pPr>
        <w:pStyle w:val="Heading1"/>
      </w:pPr>
      <w:r>
        <w:t xml:space="preserve">PURCHASE ORDER</w:t>
      </w:r>
    </w:p>
    <w:p>
      <w:pPr>
        <w:pStyle w:val="FirstParagraph"/>
      </w:pPr>
      <w:r>
        <w:t xml:space="preserve">Psychiatrist Professional Services — Turkey Istanbul Region</w:t>
      </w:r>
    </w:p>
    <w:bookmarkEnd w:id="20"/>
    <w:p>
      <w:pPr>
        <w:pStyle w:val="BodyText"/>
      </w:pPr>
      <w:r>
        <w:rPr>
          <w:bCs/>
          <w:b/>
        </w:rPr>
        <w:t xml:space="preserve">Purchase Order No.:</w:t>
      </w:r>
      <w:r>
        <w:t xml:space="preserve"> </w:t>
      </w:r>
      <w:r>
        <w:t xml:space="preserve">PO-TR-IST-2025-04782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Priority:</w:t>
      </w:r>
      <w:r>
        <w:t xml:space="preserve"> </w:t>
      </w:r>
      <w:r>
        <w:t xml:space="preserve">Standard</w:t>
      </w:r>
      <w:r>
        <w:br/>
      </w:r>
      <w:r>
        <w:rPr>
          <w:bCs/>
          <w:b/>
        </w:rPr>
        <w:t xml:space="preserve">Service Region:</w:t>
      </w:r>
      <w:r>
        <w:t xml:space="preserve"> </w:t>
      </w:r>
      <w:r>
        <w:t xml:space="preserve">Turkey Istanbul</w:t>
      </w:r>
      <w:r>
        <w:br/>
      </w:r>
      <w:r>
        <w:rPr>
          <w:bCs/>
          <w:b/>
        </w:rPr>
        <w:t xml:space="preserve">Currency:</w:t>
      </w:r>
      <w:r>
        <w:t xml:space="preserve"> </w:t>
      </w:r>
      <w:r>
        <w:t xml:space="preserve">Turkish Lira (TRY)</w:t>
      </w:r>
    </w:p>
    <w:bookmarkStart w:id="21" w:name="buyer-information"/>
    <w:p>
      <w:pPr>
        <w:pStyle w:val="Heading2"/>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p>
        </w:tc>
        <w:tc>
          <w:tcPr/>
          <w:p>
            <w:pPr>
              <w:pStyle w:val="Compact"/>
              <w:jc w:val="left"/>
            </w:pPr>
            <w:r>
              <w:t xml:space="preserve">Meridian Health Group — Istanbul Operations Division</w:t>
            </w:r>
          </w:p>
        </w:tc>
      </w:tr>
      <w:tr>
        <w:tc>
          <w:tcPr/>
          <w:p>
            <w:pPr>
              <w:pStyle w:val="Compact"/>
              <w:jc w:val="left"/>
            </w:pPr>
            <w:r>
              <w:rPr>
                <w:bCs/>
                <w:b/>
              </w:rPr>
              <w:t xml:space="preserve">Address:</w:t>
            </w:r>
          </w:p>
        </w:tc>
        <w:tc>
          <w:tcPr/>
          <w:p>
            <w:pPr>
              <w:pStyle w:val="Compact"/>
              <w:jc w:val="left"/>
            </w:pPr>
            <w:r>
              <w:t xml:space="preserve">Levent Business District, Büyükdere Caddesi No. 254, 34394 Şişli, Turkey Istanbul</w:t>
            </w:r>
          </w:p>
        </w:tc>
      </w:tr>
      <w:tr>
        <w:tc>
          <w:tcPr/>
          <w:p>
            <w:pPr>
              <w:pStyle w:val="Compact"/>
              <w:jc w:val="left"/>
            </w:pPr>
            <w:r>
              <w:rPr>
                <w:bCs/>
                <w:b/>
              </w:rPr>
              <w:t xml:space="preserve">Contact Person:</w:t>
            </w:r>
          </w:p>
        </w:tc>
        <w:tc>
          <w:tcPr/>
          <w:p>
            <w:pPr>
              <w:pStyle w:val="Compact"/>
              <w:jc w:val="left"/>
            </w:pPr>
            <w:r>
              <w:t xml:space="preserve">Dr. Ayşe Kaya, Director of Clinical Procurement</w:t>
            </w:r>
          </w:p>
        </w:tc>
      </w:tr>
      <w:tr>
        <w:tc>
          <w:tcPr/>
          <w:p>
            <w:pPr>
              <w:pStyle w:val="Compact"/>
              <w:jc w:val="left"/>
            </w:pPr>
            <w:r>
              <w:rPr>
                <w:bCs/>
                <w:b/>
              </w:rPr>
              <w:t xml:space="preserve">Email / Phone:</w:t>
            </w:r>
          </w:p>
        </w:tc>
        <w:tc>
          <w:tcPr/>
          <w:p>
            <w:pPr>
              <w:pStyle w:val="Compact"/>
              <w:jc w:val="left"/>
            </w:pPr>
            <w:r>
              <w:t xml:space="preserve">procurement@meridianhealth-tr.com / +90 212 555 0147</w:t>
            </w:r>
          </w:p>
        </w:tc>
      </w:tr>
      <w:tr>
        <w:tc>
          <w:tcPr/>
          <w:p>
            <w:pPr>
              <w:pStyle w:val="Compact"/>
              <w:jc w:val="left"/>
            </w:pPr>
            <w:r>
              <w:rPr>
                <w:bCs/>
                <w:b/>
              </w:rPr>
              <w:t xml:space="preserve">Tax ID (VKN):</w:t>
            </w:r>
          </w:p>
        </w:tc>
        <w:tc>
          <w:tcPr/>
          <w:p>
            <w:pPr>
              <w:pStyle w:val="Compact"/>
              <w:jc w:val="left"/>
            </w:pPr>
            <w:r>
              <w:t xml:space="preserve">1234567890</w:t>
            </w:r>
          </w:p>
        </w:tc>
      </w:tr>
    </w:tbl>
    <w:bookmarkEnd w:id="21"/>
    <w:bookmarkStart w:id="22" w:name="supplier-service-provider-information"/>
    <w:p>
      <w:pPr>
        <w:pStyle w:val="Heading2"/>
      </w:pPr>
      <w:r>
        <w:t xml:space="preserve">2. Supplier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Provider Name:</w:t>
            </w:r>
          </w:p>
        </w:tc>
        <w:tc>
          <w:tcPr/>
          <w:p>
            <w:pPr>
              <w:pStyle w:val="Compact"/>
              <w:jc w:val="left"/>
            </w:pPr>
            <w:r>
              <w:t xml:space="preserve">Dr. Mehmet Yılmaz, M.D. — Board-Certified Psychiatrist</w:t>
            </w:r>
          </w:p>
        </w:tc>
      </w:tr>
      <w:tr>
        <w:tc>
          <w:tcPr/>
          <w:p>
            <w:pPr>
              <w:pStyle w:val="Compact"/>
              <w:jc w:val="left"/>
            </w:pPr>
            <w:r>
              <w:rPr>
                <w:bCs/>
                <w:b/>
              </w:rPr>
              <w:t xml:space="preserve">Practice Address:</w:t>
            </w:r>
          </w:p>
        </w:tc>
        <w:tc>
          <w:tcPr/>
          <w:p>
            <w:pPr>
              <w:pStyle w:val="Compact"/>
              <w:jc w:val="left"/>
            </w:pPr>
            <w:r>
              <w:t xml:space="preserve">Kadıköy Mental Health Center, Moda Caddesi No. 88, 34710 Kadıköy, Turkey Istanbul</w:t>
            </w:r>
          </w:p>
        </w:tc>
      </w:tr>
      <w:tr>
        <w:tc>
          <w:tcPr/>
          <w:p>
            <w:pPr>
              <w:pStyle w:val="Compact"/>
              <w:jc w:val="left"/>
            </w:pPr>
            <w:r>
              <w:rPr>
                <w:bCs/>
                <w:b/>
              </w:rPr>
              <w:t xml:space="preserve">License No.:</w:t>
            </w:r>
          </w:p>
        </w:tc>
        <w:tc>
          <w:tcPr/>
          <w:p>
            <w:pPr>
              <w:pStyle w:val="Compact"/>
              <w:jc w:val="left"/>
            </w:pPr>
            <w:r>
              <w:t xml:space="preserve">TR-PSY-2019-44821 (Issued by the Turkish Ministry of Health)</w:t>
            </w:r>
          </w:p>
        </w:tc>
      </w:tr>
      <w:tr>
        <w:tc>
          <w:tcPr/>
          <w:p>
            <w:pPr>
              <w:pStyle w:val="Compact"/>
              <w:jc w:val="left"/>
            </w:pPr>
            <w:r>
              <w:rPr>
                <w:bCs/>
                <w:b/>
              </w:rPr>
              <w:t xml:space="preserve">Specialization:</w:t>
            </w:r>
          </w:p>
        </w:tc>
        <w:tc>
          <w:tcPr/>
          <w:p>
            <w:pPr>
              <w:pStyle w:val="Compact"/>
              <w:jc w:val="left"/>
            </w:pPr>
            <w:r>
              <w:t xml:space="preserve">Adult Psychiatry, Psychopharmacology, Cognitive-Behavioral Therapy</w:t>
            </w:r>
          </w:p>
        </w:tc>
      </w:tr>
      <w:tr>
        <w:tc>
          <w:tcPr/>
          <w:p>
            <w:pPr>
              <w:pStyle w:val="Compact"/>
              <w:jc w:val="left"/>
            </w:pPr>
            <w:r>
              <w:rPr>
                <w:bCs/>
                <w:b/>
              </w:rPr>
              <w:t xml:space="preserve">Contact:</w:t>
            </w:r>
          </w:p>
        </w:tc>
        <w:tc>
          <w:tcPr/>
          <w:p>
            <w:pPr>
              <w:pStyle w:val="Compact"/>
              <w:jc w:val="left"/>
            </w:pPr>
            <w:r>
              <w:t xml:space="preserve">dr.mehmet.yilmaz@kadikoymentalhealth.com / +90 216 555 0392</w:t>
            </w:r>
          </w:p>
        </w:tc>
      </w:tr>
    </w:tbl>
    <w:bookmarkEnd w:id="22"/>
    <w:bookmarkStart w:id="23" w:name="scope-of-services-line-items"/>
    <w:p>
      <w:pPr>
        <w:pStyle w:val="Heading2"/>
      </w:pPr>
      <w:r>
        <w:t xml:space="preserve">3. Scope of Services &amp; Line Items</w:t>
      </w:r>
    </w:p>
    <w:p>
      <w:pPr>
        <w:pStyle w:val="FirstParagraph"/>
      </w:pPr>
      <w:r>
        <w:t xml:space="preserve">This Purchase Order authorizes the procurement of comprehensive psychiatric services rendered by the designated Psychiatrist within the jurisdiction of Turkey Istanbul. The Psychiatrist shall provide in-person consultations, diagnostic assessments, medication management, and follow-up therapy sessions as outlined below. All services must be delivered at the practice location in Kadıköy, Turkey Istanbul, or at the Buyer's facility in Şişli, Turkey Istanbul, as mutually agreed upon per session.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(TRY)</w:t>
            </w:r>
          </w:p>
        </w:tc>
        <w:tc>
          <w:tcPr/>
          <w:p>
            <w:pPr>
              <w:pStyle w:val="Compact"/>
              <w:jc w:val="left"/>
            </w:pPr>
            <w:r>
              <w:t xml:space="preserve">Total (TRY)</w:t>
            </w:r>
          </w:p>
        </w:tc>
      </w:tr>
      <w:tr>
        <w:tc>
          <w:tcPr/>
          <w:p>
            <w:pPr>
              <w:pStyle w:val="Compact"/>
              <w:jc w:val="left"/>
            </w:pPr>
            <w:r>
              <w:t xml:space="preserve">01</w:t>
            </w:r>
          </w:p>
        </w:tc>
        <w:tc>
          <w:tcPr/>
          <w:p>
            <w:pPr>
              <w:pStyle w:val="Compact"/>
              <w:jc w:val="left"/>
            </w:pPr>
            <w:r>
              <w:t xml:space="preserve">Initial psychiatric evaluation and diagnostic consultation (90 minutes) conducted by the Psychiatrist at the Turkey Istanbul practice facility</w:t>
            </w:r>
          </w:p>
        </w:tc>
        <w:tc>
          <w:tcPr/>
          <w:p>
            <w:pPr>
              <w:pStyle w:val="Compact"/>
              <w:jc w:val="left"/>
            </w:pPr>
            <w:r>
              <w:t xml:space="preserve">12</w:t>
            </w:r>
          </w:p>
        </w:tc>
        <w:tc>
          <w:tcPr/>
          <w:p>
            <w:pPr>
              <w:pStyle w:val="Compact"/>
              <w:jc w:val="left"/>
            </w:pPr>
            <w:r>
              <w:t xml:space="preserve">Session</w:t>
            </w:r>
          </w:p>
        </w:tc>
        <w:tc>
          <w:tcPr/>
          <w:p>
            <w:pPr>
              <w:pStyle w:val="Compact"/>
              <w:jc w:val="left"/>
            </w:pPr>
            <w:r>
              <w:t xml:space="preserve">2,800.00</w:t>
            </w:r>
          </w:p>
        </w:tc>
        <w:tc>
          <w:tcPr/>
          <w:p>
            <w:pPr>
              <w:pStyle w:val="Compact"/>
              <w:jc w:val="left"/>
            </w:pPr>
            <w:r>
              <w:t xml:space="preserve">33,600.00</w:t>
            </w:r>
          </w:p>
        </w:tc>
      </w:tr>
      <w:tr>
        <w:tc>
          <w:tcPr/>
          <w:p>
            <w:pPr>
              <w:pStyle w:val="Compact"/>
              <w:jc w:val="left"/>
            </w:pPr>
            <w:r>
              <w:t xml:space="preserve">02</w:t>
            </w:r>
          </w:p>
        </w:tc>
        <w:tc>
          <w:tcPr/>
          <w:p>
            <w:pPr>
              <w:pStyle w:val="Compact"/>
              <w:jc w:val="left"/>
            </w:pPr>
            <w:r>
              <w:t xml:space="preserve">Follow-up psychiatric therapy sessions (60 minutes) including CBT and psychodynamic approaches</w:t>
            </w:r>
          </w:p>
        </w:tc>
        <w:tc>
          <w:tcPr/>
          <w:p>
            <w:pPr>
              <w:pStyle w:val="Compact"/>
              <w:jc w:val="left"/>
            </w:pPr>
            <w:r>
              <w:t xml:space="preserve">48</w:t>
            </w:r>
          </w:p>
        </w:tc>
        <w:tc>
          <w:tcPr/>
          <w:p>
            <w:pPr>
              <w:pStyle w:val="Compact"/>
              <w:jc w:val="left"/>
            </w:pPr>
            <w:r>
              <w:t xml:space="preserve">Session</w:t>
            </w:r>
          </w:p>
        </w:tc>
        <w:tc>
          <w:tcPr/>
          <w:p>
            <w:pPr>
              <w:pStyle w:val="Compact"/>
              <w:jc w:val="left"/>
            </w:pPr>
            <w:r>
              <w:t xml:space="preserve">2,200.00</w:t>
            </w:r>
          </w:p>
        </w:tc>
        <w:tc>
          <w:tcPr/>
          <w:p>
            <w:pPr>
              <w:pStyle w:val="Compact"/>
              <w:jc w:val="left"/>
            </w:pPr>
            <w:r>
              <w:t xml:space="preserve">105,600.00</w:t>
            </w:r>
          </w:p>
        </w:tc>
      </w:tr>
      <w:tr>
        <w:tc>
          <w:tcPr/>
          <w:p>
            <w:pPr>
              <w:pStyle w:val="Compact"/>
              <w:jc w:val="left"/>
            </w:pPr>
            <w:r>
              <w:t xml:space="preserve">03</w:t>
            </w:r>
          </w:p>
        </w:tc>
        <w:tc>
          <w:tcPr/>
          <w:p>
            <w:pPr>
              <w:pStyle w:val="Compact"/>
              <w:jc w:val="left"/>
            </w:pPr>
            <w:r>
              <w:t xml:space="preserve">Psychopharmacological assessment and medication management review by the Psychiatrist</w:t>
            </w:r>
          </w:p>
        </w:tc>
        <w:tc>
          <w:tcPr/>
          <w:p>
            <w:pPr>
              <w:pStyle w:val="Compact"/>
              <w:jc w:val="left"/>
            </w:pPr>
            <w:r>
              <w:t xml:space="preserve">24</w:t>
            </w:r>
          </w:p>
        </w:tc>
        <w:tc>
          <w:tcPr/>
          <w:p>
            <w:pPr>
              <w:pStyle w:val="Compact"/>
              <w:jc w:val="left"/>
            </w:pPr>
            <w:r>
              <w:t xml:space="preserve">Session</w:t>
            </w:r>
          </w:p>
        </w:tc>
        <w:tc>
          <w:tcPr/>
          <w:p>
            <w:pPr>
              <w:pStyle w:val="Compact"/>
              <w:jc w:val="left"/>
            </w:pPr>
            <w:r>
              <w:t xml:space="preserve">1,900.00</w:t>
            </w:r>
          </w:p>
        </w:tc>
        <w:tc>
          <w:tcPr/>
          <w:p>
            <w:pPr>
              <w:pStyle w:val="Compact"/>
              <w:jc w:val="left"/>
            </w:pPr>
            <w:r>
              <w:t xml:space="preserve">45,600.00</w:t>
            </w:r>
          </w:p>
        </w:tc>
      </w:tr>
      <w:tr>
        <w:tc>
          <w:tcPr/>
          <w:p>
            <w:pPr>
              <w:pStyle w:val="Compact"/>
              <w:jc w:val="left"/>
            </w:pPr>
            <w:r>
              <w:t xml:space="preserve">04</w:t>
            </w:r>
          </w:p>
        </w:tc>
        <w:tc>
          <w:tcPr/>
          <w:p>
            <w:pPr>
              <w:pStyle w:val="Compact"/>
              <w:jc w:val="left"/>
            </w:pPr>
            <w:r>
              <w:t xml:space="preserve">Psychological testing and neuropsychological battery administration (MMPI-2, WAIS-IV) supervised by the Psychiatrist</w:t>
            </w:r>
          </w:p>
        </w:tc>
        <w:tc>
          <w:tcPr/>
          <w:p>
            <w:pPr>
              <w:pStyle w:val="Compact"/>
              <w:jc w:val="left"/>
            </w:pPr>
            <w:r>
              <w:t xml:space="preserve">10</w:t>
            </w:r>
          </w:p>
        </w:tc>
        <w:tc>
          <w:tcPr/>
          <w:p>
            <w:pPr>
              <w:pStyle w:val="Compact"/>
              <w:jc w:val="left"/>
            </w:pPr>
            <w:r>
              <w:t xml:space="preserve">Assessment</w:t>
            </w:r>
          </w:p>
        </w:tc>
        <w:tc>
          <w:tcPr/>
          <w:p>
            <w:pPr>
              <w:pStyle w:val="Compact"/>
              <w:jc w:val="left"/>
            </w:pPr>
            <w:r>
              <w:t xml:space="preserve">4,500.00</w:t>
            </w:r>
          </w:p>
        </w:tc>
        <w:tc>
          <w:tcPr/>
          <w:p>
            <w:pPr>
              <w:pStyle w:val="Compact"/>
              <w:jc w:val="left"/>
            </w:pPr>
            <w:r>
              <w:t xml:space="preserve">45,000.00</w:t>
            </w:r>
          </w:p>
        </w:tc>
      </w:tr>
      <w:tr>
        <w:tc>
          <w:tcPr/>
          <w:p>
            <w:pPr>
              <w:pStyle w:val="Compact"/>
              <w:jc w:val="left"/>
            </w:pPr>
            <w:r>
              <w:t xml:space="preserve">05</w:t>
            </w:r>
          </w:p>
        </w:tc>
        <w:tc>
          <w:tcPr/>
          <w:p>
            <w:pPr>
              <w:pStyle w:val="Compact"/>
              <w:jc w:val="left"/>
            </w:pPr>
            <w:r>
              <w:t xml:space="preserve">Urgent psychiatric consultation and crisis intervention (on-call, Turkey Istanbul metropolitan area)</w:t>
            </w:r>
          </w:p>
        </w:tc>
        <w:tc>
          <w:tcPr/>
          <w:p>
            <w:pPr>
              <w:pStyle w:val="Compact"/>
              <w:jc w:val="left"/>
            </w:pPr>
            <w:r>
              <w:t xml:space="preserve">6</w:t>
            </w:r>
          </w:p>
        </w:tc>
        <w:tc>
          <w:tcPr/>
          <w:p>
            <w:pPr>
              <w:pStyle w:val="Compact"/>
              <w:jc w:val="left"/>
            </w:pPr>
            <w:r>
              <w:t xml:space="preserve">Call-out</w:t>
            </w:r>
          </w:p>
        </w:tc>
        <w:tc>
          <w:tcPr/>
          <w:p>
            <w:pPr>
              <w:pStyle w:val="Compact"/>
              <w:jc w:val="left"/>
            </w:pPr>
            <w:r>
              <w:t xml:space="preserve">3,500.00</w:t>
            </w:r>
          </w:p>
        </w:tc>
        <w:tc>
          <w:tcPr/>
          <w:p>
            <w:pPr>
              <w:pStyle w:val="Compact"/>
              <w:jc w:val="left"/>
            </w:pPr>
            <w:r>
              <w:t xml:space="preserve">21,000.00</w:t>
            </w:r>
          </w:p>
        </w:tc>
      </w:tr>
      <w:tr>
        <w:tc>
          <w:tcPr/>
          <w:p>
            <w:pPr>
              <w:pStyle w:val="Compact"/>
              <w:jc w:val="left"/>
            </w:pPr>
            <w:r>
              <w:t xml:space="preserve">06</w:t>
            </w:r>
          </w:p>
        </w:tc>
        <w:tc>
          <w:tcPr/>
          <w:p>
            <w:pPr>
              <w:pStyle w:val="Compact"/>
              <w:jc w:val="left"/>
            </w:pPr>
            <w:r>
              <w:t xml:space="preserve">Written psychiatric reports and medical documentation for insurance and legal purposes</w:t>
            </w:r>
          </w:p>
        </w:tc>
        <w:tc>
          <w:tcPr/>
          <w:p>
            <w:pPr>
              <w:pStyle w:val="Compact"/>
              <w:jc w:val="left"/>
            </w:pPr>
            <w:r>
              <w:t xml:space="preserve">20</w:t>
            </w:r>
          </w:p>
        </w:tc>
        <w:tc>
          <w:tcPr/>
          <w:p>
            <w:pPr>
              <w:pStyle w:val="Compact"/>
              <w:jc w:val="left"/>
            </w:pPr>
            <w:r>
              <w:t xml:space="preserve">Report</w:t>
            </w:r>
          </w:p>
        </w:tc>
        <w:tc>
          <w:tcPr/>
          <w:p>
            <w:pPr>
              <w:pStyle w:val="Compact"/>
              <w:jc w:val="left"/>
            </w:pPr>
            <w:r>
              <w:t xml:space="preserve">850.00</w:t>
            </w:r>
          </w:p>
        </w:tc>
        <w:tc>
          <w:tcPr/>
          <w:p>
            <w:pPr>
              <w:pStyle w:val="Compact"/>
              <w:jc w:val="left"/>
            </w:pPr>
            <w:r>
              <w:t xml:space="preserve">17,000.00</w:t>
            </w:r>
          </w:p>
        </w:tc>
      </w:tr>
      <w:tr>
        <w:tc>
          <w:tcPr>
            <w:gridSpan w:val="5"/>
          </w:tcPr>
          <w:p>
            <w:pPr>
              <w:pStyle w:val="Compact"/>
              <w:jc w:val="right"/>
            </w:pPr>
            <w:r>
              <w:t xml:space="preserve">Subtotal</w:t>
            </w:r>
          </w:p>
        </w:tc>
        <w:tc>
          <w:tcPr/>
          <w:p>
            <w:pPr>
              <w:pStyle w:val="Compact"/>
              <w:jc w:val="left"/>
            </w:pPr>
            <w:r>
              <w:t xml:space="preserve">267,800.00</w:t>
            </w:r>
          </w:p>
        </w:tc>
      </w:tr>
      <w:tr>
        <w:tc>
          <w:tcPr>
            <w:gridSpan w:val="5"/>
          </w:tcPr>
          <w:p>
            <w:pPr>
              <w:pStyle w:val="Compact"/>
              <w:jc w:val="right"/>
            </w:pPr>
            <w:r>
              <w:t xml:space="preserve">VAT (KDV) — 20%</w:t>
            </w:r>
          </w:p>
        </w:tc>
        <w:tc>
          <w:tcPr/>
          <w:p>
            <w:pPr>
              <w:pStyle w:val="Compact"/>
              <w:jc w:val="left"/>
            </w:pPr>
            <w:r>
              <w:t xml:space="preserve">53,560.00</w:t>
            </w:r>
          </w:p>
        </w:tc>
      </w:tr>
      <w:tr>
        <w:tc>
          <w:tcPr>
            <w:gridSpan w:val="5"/>
          </w:tcPr>
          <w:p>
            <w:pPr>
              <w:pStyle w:val="Compact"/>
              <w:jc w:val="right"/>
            </w:pPr>
            <w:r>
              <w:t xml:space="preserve">GRAND TOTAL</w:t>
            </w:r>
          </w:p>
        </w:tc>
        <w:tc>
          <w:tcPr/>
          <w:p>
            <w:pPr>
              <w:pStyle w:val="Compact"/>
              <w:jc w:val="left"/>
            </w:pPr>
            <w:r>
              <w:t xml:space="preserve">321,360.00</w:t>
            </w:r>
          </w:p>
        </w:tc>
      </w:tr>
    </w:tbl>
    <w:bookmarkEnd w:id="23"/>
    <w:bookmarkStart w:id="24" w:name="terms-and-conditions"/>
    <w:p>
      <w:pPr>
        <w:pStyle w:val="Heading2"/>
      </w:pPr>
      <w:r>
        <w:t xml:space="preserve">4. Terms and Conditions</w:t>
      </w:r>
    </w:p>
    <w:p>
      <w:pPr>
        <w:numPr>
          <w:ilvl w:val="0"/>
          <w:numId w:val="1001"/>
        </w:numPr>
        <w:pStyle w:val="Compact"/>
      </w:pPr>
      <w:r>
        <w:rPr>
          <w:bCs/>
          <w:b/>
        </w:rPr>
        <w:t xml:space="preserve">4.1 Service Delivery:</w:t>
      </w:r>
      <w:r>
        <w:t xml:space="preserve"> </w:t>
      </w:r>
      <w:r>
        <w:t xml:space="preserve">All psychiatric services under this Purchase Order shall be performed by the named Psychiatrist or, in the event of documented unavailability, by a substitute Psychiatrist of equivalent qualifications approved in writing by the Buyer. Services are to be rendered within the Turkey Istanbul metropolitan area, specifically at the addresses listed in Sections 1 and 2.</w:t>
      </w:r>
    </w:p>
    <w:p>
      <w:pPr>
        <w:numPr>
          <w:ilvl w:val="0"/>
          <w:numId w:val="1001"/>
        </w:numPr>
        <w:pStyle w:val="Compact"/>
      </w:pPr>
      <w:r>
        <w:rPr>
          <w:bCs/>
          <w:b/>
        </w:rPr>
        <w:t xml:space="preserve">4.2 Payment Terms:</w:t>
      </w:r>
      <w:r>
        <w:t xml:space="preserve"> </w:t>
      </w:r>
      <w:r>
        <w:t xml:space="preserve">Payment shall be made in monthly installments within thirty (30) calendar days of receipt of an itemized invoice from the Psychiatrist's practice. Payment shall be processed via bank transfer to the account designated by the supplier. The total contract value under this Purchase Order is TRY 321,360.00 inclusive of VAT.</w:t>
      </w:r>
    </w:p>
    <w:p>
      <w:pPr>
        <w:numPr>
          <w:ilvl w:val="0"/>
          <w:numId w:val="1001"/>
        </w:numPr>
        <w:pStyle w:val="Compact"/>
      </w:pPr>
      <w:r>
        <w:rPr>
          <w:bCs/>
          <w:b/>
        </w:rPr>
        <w:t xml:space="preserve">4.3 Confidentiality:</w:t>
      </w:r>
      <w:r>
        <w:t xml:space="preserve"> </w:t>
      </w:r>
      <w:r>
        <w:t xml:space="preserve">The Psychiatrist shall adhere to all provisions of the Turkish Personal Data Protection Law (KVKK, Law No. 6698) and the Turkish Medical Ethics Code. All patient records, session notes, and diagnostic data generated under this Purchase Order are classified as confidential and shall not be disclosed to any third party without explicit written consent from the patient and the Buyer.</w:t>
      </w:r>
    </w:p>
    <w:p>
      <w:pPr>
        <w:numPr>
          <w:ilvl w:val="0"/>
          <w:numId w:val="1001"/>
        </w:numPr>
        <w:pStyle w:val="Compact"/>
      </w:pPr>
      <w:r>
        <w:rPr>
          <w:bCs/>
          <w:b/>
        </w:rPr>
        <w:t xml:space="preserve">4.4 Service Period:</w:t>
      </w:r>
      <w:r>
        <w:t xml:space="preserve"> </w:t>
      </w:r>
      <w:r>
        <w:t xml:space="preserve">This Purchase Order is valid for a period of twelve (12) months from the date of issue, covering the period from 15 June 2025 through 14 June 2026. The Psychiatrist is expected to maintain availability of no fewer than twenty (20) clinical hours per week within Turkey Istanbul.</w:t>
      </w:r>
    </w:p>
    <w:p>
      <w:pPr>
        <w:numPr>
          <w:ilvl w:val="0"/>
          <w:numId w:val="1001"/>
        </w:numPr>
        <w:pStyle w:val="Compact"/>
      </w:pPr>
      <w:r>
        <w:rPr>
          <w:bCs/>
          <w:b/>
        </w:rPr>
        <w:t xml:space="preserve">4.5 Cancellation and Rescheduling:</w:t>
      </w:r>
      <w:r>
        <w:t xml:space="preserve"> </w:t>
      </w:r>
      <w:r>
        <w:t xml:space="preserve">Sessions may be rescheduled with a minimum of forty-eight (48) hours' notice. Cancellations made within twenty-four (24) hours of a scheduled session will be billed at fifty percent (50%) of the applicable session fee as stated in this Purchase Order.</w:t>
      </w:r>
    </w:p>
    <w:p>
      <w:pPr>
        <w:numPr>
          <w:ilvl w:val="0"/>
          <w:numId w:val="1001"/>
        </w:numPr>
        <w:pStyle w:val="Compact"/>
      </w:pPr>
      <w:r>
        <w:rPr>
          <w:bCs/>
          <w:b/>
        </w:rPr>
        <w:t xml:space="preserve">4.6 Regulatory Compliance:</w:t>
      </w:r>
      <w:r>
        <w:t xml:space="preserve"> </w:t>
      </w:r>
      <w:r>
        <w:t xml:space="preserve">The Psychiatrist warrants that all services are delivered in full compliance with the regulations of the Turkish Ministry of Health, the Istanbul Provincial Directorate of Health, and the Turkish Psychiatric Association (Türk Psikiyatri Derneği). Any violation of professional licensing conditions in Turkey Istanbul shall constitute grounds for immediate termination of this Purchase Order.</w:t>
      </w:r>
    </w:p>
    <w:p>
      <w:pPr>
        <w:numPr>
          <w:ilvl w:val="0"/>
          <w:numId w:val="1001"/>
        </w:numPr>
        <w:pStyle w:val="Compact"/>
      </w:pPr>
      <w:r>
        <w:rPr>
          <w:bCs/>
          <w:b/>
        </w:rPr>
        <w:t xml:space="preserve">4.7 Dispute Resolution:</w:t>
      </w:r>
      <w:r>
        <w:t xml:space="preserve"> </w:t>
      </w:r>
      <w:r>
        <w:t xml:space="preserve">Any disputes arising from this Purchase Order shall be resolved through mediation in accordance with the Turkish Code of Civil Procedure. If mediation fails, the matter shall be submitted to the competent courts of Turkey Istanbul. The governing law of this Purchase Order is the Republic of Turkey.</w:t>
      </w:r>
    </w:p>
    <w:p>
      <w:pPr>
        <w:numPr>
          <w:ilvl w:val="0"/>
          <w:numId w:val="1001"/>
        </w:numPr>
        <w:pStyle w:val="Compact"/>
      </w:pPr>
      <w:r>
        <w:rPr>
          <w:bCs/>
          <w:b/>
        </w:rPr>
        <w:t xml:space="preserve">4.8 Force Majeure:</w:t>
      </w:r>
      <w:r>
        <w:t xml:space="preserve"> </w:t>
      </w:r>
      <w:r>
        <w:t xml:space="preserve">Neither party shall be liable for failure to perform obligations under this Purchase Order due to events beyond reasonable control, including but not limited to natural disasters, government-mandated closures in Turkey Istanbul, or public health emergencies, provided that the affected party notifies the other within five (5) business days.</w:t>
      </w:r>
    </w:p>
    <w:bookmarkEnd w:id="24"/>
    <w:bookmarkStart w:id="25" w:name="acceptance-and-authorization"/>
    <w:p>
      <w:pPr>
        <w:pStyle w:val="Heading2"/>
      </w:pPr>
      <w:r>
        <w:t xml:space="preserve">5. Acceptance and Authorization</w:t>
      </w:r>
    </w:p>
    <w:p>
      <w:pPr>
        <w:pStyle w:val="FirstParagraph"/>
      </w:pPr>
      <w:r>
        <w:t xml:space="preserve">By signing below, both parties acknowledge that this Purchase Order constitutes a binding agreement for the procurement of Psychiatrist services in Turkey Istanbul. The Buyer authorizes the release of funds as specified, and the Psychiatrist commits to delivering the services described herein with the highest standard of clinical care and professional integrity.</w:t>
      </w:r>
    </w:p>
    <w:bookmarkEnd w:id="25"/>
    <w:p>
      <w:pPr>
        <w:pStyle w:val="BodyText"/>
      </w:pPr>
      <w:r>
        <w:rPr>
          <w:bCs/>
          <w:b/>
        </w:rPr>
        <w:t xml:space="preserve">For the Buyer</w:t>
      </w:r>
      <w:r>
        <w:br/>
      </w:r>
      <w:r>
        <w:t xml:space="preserve">Dr. Ayşe Kaya</w:t>
      </w:r>
      <w:r>
        <w:br/>
      </w:r>
      <w:r>
        <w:t xml:space="preserve">Director of Clinical Procurement</w:t>
      </w:r>
      <w:r>
        <w:br/>
      </w:r>
      <w:r>
        <w:t xml:space="preserve">Meridian Health Group</w:t>
      </w:r>
      <w:r>
        <w:br/>
      </w:r>
      <w:r>
        <w:t xml:space="preserve">Turkey Istanbul</w:t>
      </w:r>
      <w:r>
        <w:br/>
      </w:r>
      <w:r>
        <w:t xml:space="preserve">Date: _______________</w:t>
      </w:r>
    </w:p>
    <w:p>
      <w:pPr>
        <w:pStyle w:val="BodyText"/>
      </w:pPr>
      <w:r>
        <w:rPr>
          <w:bCs/>
          <w:b/>
        </w:rPr>
        <w:t xml:space="preserve">For the Psychiatrist / Supplier</w:t>
      </w:r>
      <w:r>
        <w:br/>
      </w:r>
      <w:r>
        <w:t xml:space="preserve">Dr. Mehmet Yılmaz, M.D.</w:t>
      </w:r>
      <w:r>
        <w:br/>
      </w:r>
      <w:r>
        <w:t xml:space="preserve">Board-Certified Psychiatrist</w:t>
      </w:r>
      <w:r>
        <w:br/>
      </w:r>
      <w:r>
        <w:t xml:space="preserve">Kadıköy Mental Health Center</w:t>
      </w:r>
      <w:r>
        <w:br/>
      </w:r>
      <w:r>
        <w:t xml:space="preserve">Turkey Istanbul</w:t>
      </w:r>
      <w:r>
        <w:br/>
      </w:r>
      <w:r>
        <w:t xml:space="preserve">Date: _______________</w:t>
      </w:r>
    </w:p>
    <w:p>
      <w:pPr>
        <w:pStyle w:val="BodyText"/>
      </w:pPr>
      <w:r>
        <w:t xml:space="preserve">This Purchase Order (PO-TR-IST-2025-04782) is issued for Psychiatrist professional services in Turkey Istanbul. Document reference: MHG-TR-PROC-2025-04782. For inquiries, contact the Procurement Department at Meridian Health Group, Levent, Turkey Istanbul. This document is valid only when bearing the authorized signatures of both parties. © 2025 Meridian Health Group.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Psychiatrist Services - Turkey Istanbul</dc:title>
  <dc:creator/>
  <dc:language>en</dc:language>
  <cp:keywords/>
  <dcterms:created xsi:type="dcterms:W3CDTF">2026-10-10T04:21:17Z</dcterms:created>
  <dcterms:modified xsi:type="dcterms:W3CDTF">2026-10-10T04:21:17Z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