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7" w:name="purchase-order"/>
    <w:p>
      <w:pPr>
        <w:pStyle w:val="Heading1"/>
      </w:pPr>
      <w:r>
        <w:t xml:space="preserve">PURCHASE ORDER</w:t>
      </w:r>
    </w:p>
    <w:p>
      <w:pPr>
        <w:pStyle w:val="FirstParagraph"/>
      </w:pPr>
      <w:r>
        <w:t xml:space="preserve">Psychiatrist Professional Services — United States Miami</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PO-2025-MIA-PSY-004782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Expected Delivery / Service Start</w:t>
            </w:r>
          </w:p>
        </w:tc>
        <w:tc>
          <w:tcPr/>
          <w:p>
            <w:pPr>
              <w:pStyle w:val="Compact"/>
              <w:jc w:val="left"/>
            </w:pPr>
            <w:r>
              <w:t xml:space="preserve">July 1,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USD (United States Dollar)</w:t>
            </w:r>
          </w:p>
        </w:tc>
        <w:tc>
          <w:tcPr/>
          <w:p>
            <w:pPr>
              <w:pStyle w:val="Compact"/>
              <w:jc w:val="left"/>
            </w:pPr>
            <w:r>
              <w:t xml:space="preserve">Valid Until</w:t>
            </w:r>
          </w:p>
        </w:tc>
        <w:tc>
          <w:tcPr/>
          <w:p>
            <w:pPr>
              <w:pStyle w:val="Compact"/>
              <w:jc w:val="left"/>
            </w:pPr>
            <w:r>
              <w:t xml:space="preserve">July 15, 2025</w:t>
            </w:r>
          </w:p>
        </w:tc>
      </w:tr>
    </w:tbl>
    <w:bookmarkStart w:id="20" w:name="buyer-information"/>
    <w:p>
      <w:pPr>
        <w:pStyle w:val="Heading2"/>
      </w:pPr>
      <w:r>
        <w:t xml:space="preserve">1. Buyer Information</w:t>
      </w:r>
    </w:p>
    <w:p>
      <w:pPr>
        <w:pStyle w:val="FirstParagraph"/>
      </w:pPr>
      <w:r>
        <w:t xml:space="preserve">Organization:</w:t>
      </w:r>
    </w:p>
    <w:p>
      <w:pPr>
        <w:pStyle w:val="BodyText"/>
      </w:pPr>
      <w:r>
        <w:t xml:space="preserve">Biscayne Bay Behavioral Health Center, LLC</w:t>
      </w:r>
    </w:p>
    <w:p>
      <w:pPr>
        <w:pStyle w:val="BodyText"/>
      </w:pPr>
      <w:r>
        <w:t xml:space="preserve">Address:</w:t>
      </w:r>
    </w:p>
    <w:p>
      <w:pPr>
        <w:pStyle w:val="BodyText"/>
      </w:pPr>
      <w:r>
        <w:t xml:space="preserve">2100 Biscayne Boulevard, Suite 450, Miami, Florida 33132, United States Miami Metropolitan Area</w:t>
      </w:r>
    </w:p>
    <w:p>
      <w:pPr>
        <w:pStyle w:val="BodyText"/>
      </w:pPr>
      <w:r>
        <w:t xml:space="preserve">Tax ID / EIN:</w:t>
      </w:r>
    </w:p>
    <w:p>
      <w:pPr>
        <w:pStyle w:val="BodyText"/>
      </w:pPr>
      <w:r>
        <w:t xml:space="preserve">82-4471903</w:t>
      </w:r>
    </w:p>
    <w:p>
      <w:pPr>
        <w:pStyle w:val="BodyText"/>
      </w:pPr>
      <w:r>
        <w:t xml:space="preserve">Contact Person:</w:t>
      </w:r>
    </w:p>
    <w:p>
      <w:pPr>
        <w:pStyle w:val="BodyText"/>
      </w:pPr>
      <w:r>
        <w:t xml:space="preserve">Dr. Elena Vasquez, Director of Clinical Operations</w:t>
      </w:r>
    </w:p>
    <w:p>
      <w:pPr>
        <w:pStyle w:val="BodyText"/>
      </w:pPr>
      <w:r>
        <w:t xml:space="preserve">Phone:</w:t>
      </w:r>
    </w:p>
    <w:p>
      <w:pPr>
        <w:pStyle w:val="BodyText"/>
      </w:pPr>
      <w:r>
        <w:t xml:space="preserve">(305) 555-0187</w:t>
      </w:r>
    </w:p>
    <w:p>
      <w:pPr>
        <w:pStyle w:val="BodyText"/>
      </w:pPr>
      <w:r>
        <w:t xml:space="preserve">Email:</w:t>
      </w:r>
    </w:p>
    <w:p>
      <w:pPr>
        <w:pStyle w:val="BodyText"/>
      </w:pPr>
      <w:r>
        <w:t xml:space="preserve">procurement@biscaynebaybh.com</w:t>
      </w:r>
    </w:p>
    <w:p>
      <w:pPr>
        <w:pStyle w:val="BodyText"/>
      </w:pPr>
      <w:r>
        <w:t xml:space="preserve">Department:</w:t>
      </w:r>
    </w:p>
    <w:p>
      <w:pPr>
        <w:pStyle w:val="BodyText"/>
      </w:pPr>
      <w:r>
        <w:t xml:space="preserve">Outpatient Mental Health Services</w:t>
      </w:r>
    </w:p>
    <w:p>
      <w:pPr>
        <w:pStyle w:val="BodyText"/>
      </w:pPr>
      <w:r>
        <w:t xml:space="preserve">Cost Center:</w:t>
      </w:r>
    </w:p>
    <w:p>
      <w:pPr>
        <w:pStyle w:val="BodyText"/>
      </w:pPr>
      <w:r>
        <w:t xml:space="preserve">CC-PSY-2025-003</w:t>
      </w:r>
    </w:p>
    <w:p>
      <w:pPr>
        <w:pStyle w:val="BodyText"/>
      </w:pPr>
      <w:r>
        <w:t xml:space="preserve">Budget Reference:</w:t>
      </w:r>
    </w:p>
    <w:p>
      <w:pPr>
        <w:pStyle w:val="BodyText"/>
      </w:pPr>
      <w:r>
        <w:t xml:space="preserve">FY2025-OUTPATIENT-PSYCHIATRY</w:t>
      </w:r>
    </w:p>
    <w:p>
      <w:pPr>
        <w:pStyle w:val="BodyText"/>
      </w:pPr>
      <w:r>
        <w:t xml:space="preserve">Authorized Approver:</w:t>
      </w:r>
    </w:p>
    <w:p>
      <w:pPr>
        <w:pStyle w:val="BodyText"/>
      </w:pPr>
      <w:r>
        <w:t xml:space="preserve">Marcus T. Whitfield, Chief Financial Officer</w:t>
      </w:r>
    </w:p>
    <w:bookmarkEnd w:id="20"/>
    <w:bookmarkStart w:id="21" w:name="provider-seller-information"/>
    <w:p>
      <w:pPr>
        <w:pStyle w:val="Heading2"/>
      </w:pPr>
      <w:r>
        <w:t xml:space="preserve">2. Provider / Seller Information</w:t>
      </w:r>
    </w:p>
    <w:p>
      <w:pPr>
        <w:pStyle w:val="FirstParagraph"/>
      </w:pPr>
      <w:r>
        <w:t xml:space="preserve">Provider Name:</w:t>
      </w:r>
    </w:p>
    <w:p>
      <w:pPr>
        <w:pStyle w:val="BodyText"/>
      </w:pPr>
      <w:r>
        <w:t xml:space="preserve">Dr. Jonathan R. Caldwell, M.D., Board-Certified Psychiatrist</w:t>
      </w:r>
    </w:p>
    <w:p>
      <w:pPr>
        <w:pStyle w:val="BodyText"/>
      </w:pPr>
      <w:r>
        <w:t xml:space="preserve">Practice:</w:t>
      </w:r>
    </w:p>
    <w:p>
      <w:pPr>
        <w:pStyle w:val="BodyText"/>
      </w:pPr>
      <w:r>
        <w:t xml:space="preserve">Caldwell Psychiatric Associates, P.A.</w:t>
      </w:r>
    </w:p>
    <w:p>
      <w:pPr>
        <w:pStyle w:val="BodyText"/>
      </w:pPr>
      <w:r>
        <w:t xml:space="preserve">Address:</w:t>
      </w:r>
    </w:p>
    <w:p>
      <w:pPr>
        <w:pStyle w:val="BodyText"/>
      </w:pPr>
      <w:r>
        <w:t xml:space="preserve">1450 Brickell Avenue, Suite 820, Miami, Florida 33131, United States Miami</w:t>
      </w:r>
    </w:p>
    <w:p>
      <w:pPr>
        <w:pStyle w:val="BodyText"/>
      </w:pPr>
      <w:r>
        <w:t xml:space="preserve">NPI Number:</w:t>
      </w:r>
    </w:p>
    <w:p>
      <w:pPr>
        <w:pStyle w:val="BodyText"/>
      </w:pPr>
      <w:r>
        <w:t xml:space="preserve">1740829361</w:t>
      </w:r>
    </w:p>
    <w:p>
      <w:pPr>
        <w:pStyle w:val="BodyText"/>
      </w:pPr>
      <w:r>
        <w:t xml:space="preserve">Florida Medical License:</w:t>
      </w:r>
    </w:p>
    <w:p>
      <w:pPr>
        <w:pStyle w:val="BodyText"/>
      </w:pPr>
      <w:r>
        <w:t xml:space="preserve">ME44821</w:t>
      </w:r>
    </w:p>
    <w:p>
      <w:pPr>
        <w:pStyle w:val="BodyText"/>
      </w:pPr>
      <w:r>
        <w:t xml:space="preserve">Specialty:</w:t>
      </w:r>
    </w:p>
    <w:p>
      <w:pPr>
        <w:pStyle w:val="BodyText"/>
      </w:pPr>
      <w:r>
        <w:t xml:space="preserve">Adult &amp; Adolescent Psychiatry, Psychopharmacology, Psychotherapy</w:t>
      </w:r>
    </w:p>
    <w:p>
      <w:pPr>
        <w:pStyle w:val="BodyText"/>
      </w:pPr>
      <w:r>
        <w:t xml:space="preserve">Phone:</w:t>
      </w:r>
    </w:p>
    <w:p>
      <w:pPr>
        <w:pStyle w:val="BodyText"/>
      </w:pPr>
      <w:r>
        <w:t xml:space="preserve">(305) 555-0294</w:t>
      </w:r>
    </w:p>
    <w:p>
      <w:pPr>
        <w:pStyle w:val="BodyText"/>
      </w:pPr>
      <w:r>
        <w:t xml:space="preserve">Email:</w:t>
      </w:r>
    </w:p>
    <w:p>
      <w:pPr>
        <w:pStyle w:val="BodyText"/>
      </w:pPr>
      <w:r>
        <w:t xml:space="preserve">billing@caldwellpsychiatry.com</w:t>
      </w:r>
    </w:p>
    <w:p>
      <w:pPr>
        <w:pStyle w:val="BodyText"/>
      </w:pPr>
      <w:r>
        <w:t xml:space="preserve">Bank for ACH Transfer:</w:t>
      </w:r>
    </w:p>
    <w:p>
      <w:pPr>
        <w:pStyle w:val="BodyText"/>
      </w:pPr>
      <w:r>
        <w:t xml:space="preserve">Bank of America — Routing: 021000021 — Account: ****7842</w:t>
      </w:r>
    </w:p>
    <w:bookmarkEnd w:id="21"/>
    <w:bookmarkStart w:id="22" w:name="X6c864fa1b60c70ba192ccd179421070793986e3"/>
    <w:p>
      <w:pPr>
        <w:pStyle w:val="Heading2"/>
      </w:pPr>
      <w:r>
        <w:t xml:space="preserve">3. Scope of Services — Psychiatrist Engagement</w:t>
      </w:r>
    </w:p>
    <w:p>
      <w:pPr>
        <w:pStyle w:val="FirstParagraph"/>
      </w:pPr>
      <w:r>
        <w:t xml:space="preserve">This Purchase Order authorizes the engagement of a licensed Psychiatrist to provide comprehensive outpatient psychiatric services at the Biscayne Bay Behavioral Health Center facility located in United States Miami. The Psychiatrist shall deliver clinical evaluations, diagnostic assessments, medication management, and evidence-based psychotherapy sessions in accordance with the standards established by the American Psychiatric Association and the Florida Board of Medicine. All services rendered under this Purchase Order shall be performed within the United States Miami service area, specifically at the buyer's premises or at mutually agreed-upon satellite locations within Miami-Dade County.</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Sessions</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Frequency / Period</w:t>
            </w:r>
          </w:p>
        </w:tc>
      </w:tr>
      <w:tr>
        <w:tc>
          <w:tcPr/>
          <w:p>
            <w:pPr>
              <w:pStyle w:val="Compact"/>
              <w:jc w:val="left"/>
            </w:pPr>
            <w:r>
              <w:t xml:space="preserve">1</w:t>
            </w:r>
          </w:p>
        </w:tc>
        <w:tc>
          <w:tcPr/>
          <w:p>
            <w:pPr>
              <w:pStyle w:val="Compact"/>
              <w:jc w:val="left"/>
            </w:pPr>
            <w:r>
              <w:t xml:space="preserve">Initial Comprehensive Psychiatric Evaluation (60-minute session) including diagnostic assessment, medical history review, and treatment plan formulation</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$33,000.00</w:t>
            </w:r>
          </w:p>
        </w:tc>
        <w:tc>
          <w:tcPr/>
          <w:p>
            <w:pPr>
              <w:pStyle w:val="Compact"/>
              <w:jc w:val="left"/>
            </w:pPr>
            <w:r>
              <w:t xml:space="preserve">Monthly, Jul 2025 – Jun 2026</w:t>
            </w:r>
          </w:p>
        </w:tc>
      </w:tr>
      <w:tr>
        <w:tc>
          <w:tcPr/>
          <w:p>
            <w:pPr>
              <w:pStyle w:val="Compact"/>
              <w:jc w:val="left"/>
            </w:pPr>
            <w:r>
              <w:t xml:space="preserve">2</w:t>
            </w:r>
          </w:p>
        </w:tc>
        <w:tc>
          <w:tcPr/>
          <w:p>
            <w:pPr>
              <w:pStyle w:val="Compact"/>
              <w:jc w:val="left"/>
            </w:pPr>
            <w:r>
              <w:t xml:space="preserve">Follow-up Psychiatric Consultation (30-minute session) for medication management, symptom monitoring, and treatment plan adjustment</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$88,800.00</w:t>
            </w:r>
          </w:p>
        </w:tc>
        <w:tc>
          <w:tcPr/>
          <w:p>
            <w:pPr>
              <w:pStyle w:val="Compact"/>
              <w:jc w:val="left"/>
            </w:pPr>
            <w:r>
              <w:t xml:space="preserve">Weekly, Jul 2025 – Jun 2026</w:t>
            </w:r>
          </w:p>
        </w:tc>
      </w:tr>
      <w:tr>
        <w:tc>
          <w:tcPr/>
          <w:p>
            <w:pPr>
              <w:pStyle w:val="Compact"/>
              <w:jc w:val="left"/>
            </w:pPr>
            <w:r>
              <w:t xml:space="preserve">3</w:t>
            </w:r>
          </w:p>
        </w:tc>
        <w:tc>
          <w:tcPr/>
          <w:p>
            <w:pPr>
              <w:pStyle w:val="Compact"/>
              <w:jc w:val="left"/>
            </w:pPr>
            <w:r>
              <w:t xml:space="preserve">Individual Psychotherapy Session (50-minute session) utilizing CBT, DBT, or psychodynamic modalities as clinically indicated</w:t>
            </w:r>
          </w:p>
        </w:tc>
        <w:tc>
          <w:tcPr/>
          <w:p>
            <w:pPr>
              <w:pStyle w:val="Compact"/>
              <w:jc w:val="left"/>
            </w:pPr>
            <w:r>
              <w:t xml:space="preserve">240</w:t>
            </w:r>
          </w:p>
        </w:tc>
        <w:tc>
          <w:tcPr/>
          <w:p>
            <w:pPr>
              <w:pStyle w:val="Compact"/>
              <w:jc w:val="left"/>
            </w:pPr>
            <w:r>
              <w:t xml:space="preserve">$210.00</w:t>
            </w:r>
          </w:p>
        </w:tc>
        <w:tc>
          <w:tcPr/>
          <w:p>
            <w:pPr>
              <w:pStyle w:val="Compact"/>
              <w:jc w:val="left"/>
            </w:pPr>
            <w:r>
              <w:t xml:space="preserve">$50,400.00</w:t>
            </w:r>
          </w:p>
        </w:tc>
        <w:tc>
          <w:tcPr/>
          <w:p>
            <w:pPr>
              <w:pStyle w:val="Compact"/>
              <w:jc w:val="left"/>
            </w:pPr>
            <w:r>
              <w:t xml:space="preserve">Bi-weekly, Jul 2025 – Jun 2026</w:t>
            </w:r>
          </w:p>
        </w:tc>
      </w:tr>
      <w:tr>
        <w:tc>
          <w:tcPr/>
          <w:p>
            <w:pPr>
              <w:pStyle w:val="Compact"/>
              <w:jc w:val="left"/>
            </w:pPr>
            <w:r>
              <w:t xml:space="preserve">4</w:t>
            </w:r>
          </w:p>
        </w:tc>
        <w:tc>
          <w:tcPr/>
          <w:p>
            <w:pPr>
              <w:pStyle w:val="Compact"/>
              <w:jc w:val="left"/>
            </w:pPr>
            <w:r>
              <w:t xml:space="preserve">Psychiatric Consultation for Referring Physicians (30-minute telehealth or in-person) within the United States Miami healthcare network</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c>
          <w:tcPr/>
          <w:p>
            <w:pPr>
              <w:pStyle w:val="Compact"/>
              <w:jc w:val="left"/>
            </w:pPr>
            <w:r>
              <w:t xml:space="preserve">As needed, Jul 2025 – Jun 2026</w:t>
            </w:r>
          </w:p>
        </w:tc>
      </w:tr>
      <w:tr>
        <w:tc>
          <w:tcPr/>
          <w:p>
            <w:pPr>
              <w:pStyle w:val="Compact"/>
              <w:jc w:val="left"/>
            </w:pPr>
            <w:r>
              <w:t xml:space="preserve">5</w:t>
            </w:r>
          </w:p>
        </w:tc>
        <w:tc>
          <w:tcPr/>
          <w:p>
            <w:pPr>
              <w:pStyle w:val="Compact"/>
              <w:jc w:val="left"/>
            </w:pPr>
            <w:r>
              <w:t xml:space="preserve">Crisis Intervention &amp; Emergency Psychiatric Assessment (on-call availability, 24/7 coverage within United States Miami)</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c>
          <w:tcPr/>
          <w:p>
            <w:pPr>
              <w:pStyle w:val="Compact"/>
              <w:jc w:val="left"/>
            </w:pPr>
            <w:r>
              <w:t xml:space="preserve">On-call, Jul 2025 – Jun 2026</w:t>
            </w:r>
          </w:p>
        </w:tc>
      </w:tr>
      <w:tr>
        <w:tc>
          <w:tcPr/>
          <w:p>
            <w:pPr>
              <w:pStyle w:val="Compact"/>
              <w:jc w:val="left"/>
            </w:pPr>
            <w:r>
              <w:t xml:space="preserve">6</w:t>
            </w:r>
          </w:p>
        </w:tc>
        <w:tc>
          <w:tcPr/>
          <w:p>
            <w:pPr>
              <w:pStyle w:val="Compact"/>
              <w:jc w:val="left"/>
            </w:pPr>
            <w:r>
              <w:t xml:space="preserve">Psychiatric Board Certification Maintenance &amp; Continuing Medical Education (CME) Stipend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Annual, Jul 2025</w:t>
            </w:r>
          </w:p>
        </w:tc>
      </w:tr>
      <w:tr>
        <w:tc>
          <w:tcPr/>
          <w:p>
            <w:pPr>
              <w:pStyle w:val="Compact"/>
              <w:jc w:val="left"/>
            </w:pPr>
            <w:r>
              <w:t xml:space="preserve">7</w:t>
            </w:r>
          </w:p>
        </w:tc>
        <w:tc>
          <w:tcPr/>
          <w:p>
            <w:pPr>
              <w:pStyle w:val="Compact"/>
              <w:jc w:val="left"/>
            </w:pPr>
            <w:r>
              <w:t xml:space="preserve">Electronic Health Record (EHR) Integration &amp; Documentation Support for Psychiatrist services within the facility system</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Monthly, Jul 2025 – Jun 2026</w:t>
            </w:r>
          </w:p>
        </w:tc>
      </w:tr>
      <w:tr>
        <w:tc>
          <w:tcPr>
            <w:gridSpan w:val="4"/>
          </w:tcPr>
          <w:p>
            <w:pPr>
              <w:pStyle w:val="Compact"/>
              <w:jc w:val="right"/>
            </w:pPr>
            <w:r>
              <w:t xml:space="preserve">TOTAL CONTRACT VALUE (USD):</w:t>
            </w:r>
          </w:p>
        </w:tc>
        <w:tc>
          <w:tcPr/>
          <w:p>
            <w:pPr>
              <w:pStyle w:val="Compact"/>
              <w:jc w:val="left"/>
            </w:pPr>
            <w:r>
              <w:t xml:space="preserve">$193,540.00</w:t>
            </w:r>
          </w:p>
        </w:tc>
        <w:tc>
          <w:tcPr/>
          <w:p>
            <w:pPr>
              <w:pStyle w:val="Compact"/>
              <w:jc w:val="left"/>
            </w:pPr>
            <w:r>
              <w:t xml:space="preserve">12-Month Term</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Biscayne Bay Behavioral Health Center, LLC (hereinafter "Buyer") and Dr. Jonathan R. Caldwell, M.D. (hereinafter "Psychiatrist Provider") for the provision of psychiatric services in United States Miami. Both parties acknowledge that this Purchase Order supersedes all prior negotiations, representations, or agreements relating to the subject matter herein.</w:t>
      </w:r>
    </w:p>
    <w:p>
      <w:pPr>
        <w:pStyle w:val="BodyText"/>
      </w:pPr>
      <w:r>
        <w:rPr>
          <w:bCs/>
          <w:b/>
        </w:rPr>
        <w:t xml:space="preserve">5.2</w:t>
      </w:r>
      <w:r>
        <w:t xml:space="preserve"> </w:t>
      </w:r>
      <w:r>
        <w:t xml:space="preserve">The Psychiatrist Provider shall maintain all required licenses, certifications, and malpractice insurance (minimum $2,000,000 per occurrence / $5,000,000 aggregate) throughout the term of this Purchase Order. Proof of insurance shall be provided to the Buyer prior to the commencement of services.</w:t>
      </w:r>
    </w:p>
    <w:p>
      <w:pPr>
        <w:pStyle w:val="BodyText"/>
      </w:pPr>
      <w:r>
        <w:rPr>
          <w:bCs/>
          <w:b/>
        </w:rPr>
        <w:t xml:space="preserve">5.3</w:t>
      </w:r>
      <w:r>
        <w:t xml:space="preserve"> </w:t>
      </w:r>
      <w:r>
        <w:t xml:space="preserve">All services shall be rendered in compliance with the Health Insurance Portability and Accountability Act (HIPAA), the Florida Medical Practice Act, and all applicable federal and state regulations governing psychiatric care in the United States Miami jurisdiction.</w:t>
      </w:r>
    </w:p>
    <w:p>
      <w:pPr>
        <w:pStyle w:val="BodyText"/>
      </w:pPr>
      <w:r>
        <w:rPr>
          <w:bCs/>
          <w:b/>
        </w:rPr>
        <w:t xml:space="preserve">5.4</w:t>
      </w:r>
      <w:r>
        <w:t xml:space="preserve"> </w:t>
      </w:r>
      <w:r>
        <w:t xml:space="preserve">The Psychiatrist Provider shall submit itemized invoices on a monthly basis by the 5th business day of the following month. Payment shall be processed via ACH transfer within thirty (30) calendar days of receipt of a valid invoice. Late payments shall accrue interest at a rate of 1.5% per month.</w:t>
      </w:r>
    </w:p>
    <w:p>
      <w:pPr>
        <w:pStyle w:val="BodyText"/>
      </w:pPr>
      <w:r>
        <w:rPr>
          <w:bCs/>
          <w:b/>
        </w:rPr>
        <w:t xml:space="preserve">5.5</w:t>
      </w:r>
      <w:r>
        <w:t xml:space="preserve"> </w:t>
      </w:r>
      <w:r>
        <w:t xml:space="preserve">Either party may terminate this Purchase Order with thirty (30) days written notice. In the event of termination, the Buyer shall compensate the Psychiatrist Provider for all services rendered up to the effective date of termination.</w:t>
      </w:r>
    </w:p>
    <w:p>
      <w:pPr>
        <w:pStyle w:val="BodyText"/>
      </w:pPr>
      <w:r>
        <w:rPr>
          <w:bCs/>
          <w:b/>
        </w:rPr>
        <w:t xml:space="preserve">5.6</w:t>
      </w:r>
      <w:r>
        <w:t xml:space="preserve"> </w:t>
      </w:r>
      <w:r>
        <w:t xml:space="preserve">The Psychiatrist Provider shall maintain complete and accurate clinical documentation for all patient encounters. All records shall be stored in the Buyer's EHR system and retained in accordance with Florida state law (minimum seven years for adult patients, until the minor reaches age 24 for adolescent patients).</w:t>
      </w:r>
    </w:p>
    <w:p>
      <w:pPr>
        <w:pStyle w:val="BodyText"/>
      </w:pPr>
      <w:r>
        <w:rPr>
          <w:bCs/>
          <w:b/>
        </w:rPr>
        <w:t xml:space="preserve">5.7</w:t>
      </w:r>
      <w:r>
        <w:t xml:space="preserve"> </w:t>
      </w:r>
      <w:r>
        <w:t xml:space="preserve">This Purchase Order is governed by the laws of the State of Florida. Any disputes arising under this Purchase Order shall be resolved through binding arbitration in Miami, Florida, in accordance with the rules of the American Arbitration Association.</w:t>
      </w:r>
    </w:p>
    <w:p>
      <w:pPr>
        <w:pStyle w:val="BodyText"/>
      </w:pPr>
      <w:r>
        <w:rPr>
          <w:bCs/>
          <w:b/>
        </w:rPr>
        <w:t xml:space="preserve">5.8</w:t>
      </w:r>
      <w:r>
        <w:t xml:space="preserve"> </w:t>
      </w:r>
      <w:r>
        <w:t xml:space="preserve">The Psychiatrist Provider agrees to a non-compete clause limiting the provision of identical psychiatric services to direct competitors within a 15-mile radius of the United States Miami facility for a period of twelve (12) months following the expiration or termination of this Purchase Order.</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Psychiatrist services in United States Miami.</w:t>
      </w:r>
    </w:p>
    <w:p>
      <w:pPr>
        <w:pStyle w:val="BodyText"/>
      </w:pPr>
      <w:r>
        <w:t xml:space="preserve">For the Buyer:</w:t>
      </w:r>
    </w:p>
    <w:p>
      <w:pPr>
        <w:pStyle w:val="BodyText"/>
      </w:pPr>
      <w:r>
        <w:t xml:space="preserve">Biscayne Bay Behavioral Health Center, LLC</w:t>
      </w:r>
    </w:p>
    <w:p>
      <w:pPr>
        <w:pStyle w:val="BodyText"/>
      </w:pPr>
      <w:r>
        <w:t xml:space="preserve">Signature: ______________________________</w:t>
      </w:r>
    </w:p>
    <w:p>
      <w:pPr>
        <w:pStyle w:val="BodyText"/>
      </w:pPr>
      <w:r>
        <w:t xml:space="preserve">Name: Marcus T. Whitfield</w:t>
      </w:r>
    </w:p>
    <w:p>
      <w:pPr>
        <w:pStyle w:val="BodyText"/>
      </w:pPr>
      <w:r>
        <w:t xml:space="preserve">Title: Chief Financial Officer</w:t>
      </w:r>
    </w:p>
    <w:p>
      <w:pPr>
        <w:pStyle w:val="BodyText"/>
      </w:pPr>
      <w:r>
        <w:t xml:space="preserve">Date: ______________________________</w:t>
      </w:r>
    </w:p>
    <w:p>
      <w:pPr>
        <w:pStyle w:val="BodyText"/>
      </w:pPr>
      <w:r>
        <w:t xml:space="preserve">For the Psychiatrist Provider:</w:t>
      </w:r>
    </w:p>
    <w:p>
      <w:pPr>
        <w:pStyle w:val="BodyText"/>
      </w:pPr>
      <w:r>
        <w:t xml:space="preserve">Caldwell Psychiatric Associates, P.A.</w:t>
      </w:r>
    </w:p>
    <w:p>
      <w:pPr>
        <w:pStyle w:val="BodyText"/>
      </w:pPr>
      <w:r>
        <w:t xml:space="preserve">Signature: ______________________________</w:t>
      </w:r>
    </w:p>
    <w:p>
      <w:pPr>
        <w:pStyle w:val="BodyText"/>
      </w:pPr>
      <w:r>
        <w:t xml:space="preserve">Name: Jonathan R. Caldwell, M.D.</w:t>
      </w:r>
    </w:p>
    <w:p>
      <w:pPr>
        <w:pStyle w:val="BodyText"/>
      </w:pPr>
      <w:r>
        <w:t xml:space="preserve">Title: Board-Certified Psychiatrist</w:t>
      </w:r>
    </w:p>
    <w:p>
      <w:pPr>
        <w:pStyle w:val="BodyText"/>
      </w:pPr>
      <w:r>
        <w:t xml:space="preserve">Date: ______________________________</w:t>
      </w:r>
    </w:p>
    <w:bookmarkEnd w:id="25"/>
    <w:bookmarkStart w:id="26" w:name="additional-notes"/>
    <w:p>
      <w:pPr>
        <w:pStyle w:val="Heading2"/>
      </w:pPr>
      <w:r>
        <w:t xml:space="preserve">7. Additional Notes</w:t>
      </w:r>
    </w:p>
    <w:p>
      <w:pPr>
        <w:pStyle w:val="FirstParagraph"/>
      </w:pPr>
      <w:r>
        <w:t xml:space="preserve">This Purchase Order was prepared in accordance with the internal procurement policies of Biscayne Bay Behavioral Health Center, LLC. The Psychiatrist services outlined herein are intended to expand outpatient mental health capacity in the United States Miami community, addressing the growing demand for accessible psychiatric care in Miami-Dade County. All clinical services shall be delivered with the highest standard of patient care, cultural competency, and adherence to evidence-based psychiatric practice guidelines.</w:t>
      </w:r>
    </w:p>
    <w:p>
      <w:pPr>
        <w:pStyle w:val="BodyText"/>
      </w:pPr>
      <w:r>
        <w:t xml:space="preserve">This document is valid only when signed by both authorized representatives. Electronic signatures are acceptable and carry the same legal weight as wet-ink signatures under the Florida Electronic Signatures in Transactions and Access (FESTA) Act.</w:t>
      </w:r>
    </w:p>
    <w:p>
      <w:pPr>
        <w:pStyle w:val="BodyText"/>
      </w:pPr>
      <w:r>
        <w:t xml:space="preserve">Purchase Order PO-2025-MIA-PSY-004782 | Biscayne Bay Behavioral Health Center, LLC | Miami, Florida, United States</w:t>
      </w:r>
    </w:p>
    <w:p>
      <w:pPr>
        <w:pStyle w:val="BodyText"/>
      </w:pPr>
      <w:r>
        <w:t xml:space="preserve">Page 1 of 1 | Confidential — For Internal Use Only | Generated: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States Miami</dc:title>
  <dc:creator/>
  <dc:language>en</dc:language>
  <cp:keywords/>
  <dcterms:created xsi:type="dcterms:W3CDTF">2026-10-10T07:07:50Z</dcterms:created>
  <dcterms:modified xsi:type="dcterms:W3CDTF">2026-10-10T07:07:50Z</dcterms:modified>
</cp:coreProperties>
</file>

<file path=docProps/custom.xml><?xml version="1.0" encoding="utf-8"?>
<Properties xmlns="http://schemas.openxmlformats.org/officeDocument/2006/custom-properties" xmlns:vt="http://schemas.openxmlformats.org/officeDocument/2006/docPropsVTypes"/>
</file>