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6" w:name="purchase-order"/>
    <w:p>
      <w:pPr>
        <w:pStyle w:val="Heading1"/>
      </w:pPr>
      <w:r>
        <w:t xml:space="preserve">PURCHASE ORDER</w:t>
      </w:r>
    </w:p>
    <w:p>
      <w:pPr>
        <w:pStyle w:val="FirstParagraph"/>
      </w:pPr>
      <w:r>
        <w:rPr>
          <w:bCs/>
          <w:b/>
        </w:rPr>
        <w:t xml:space="preserve">Issuing Company:</w:t>
      </w:r>
      <w:r>
        <w:br/>
      </w:r>
      <w:r>
        <w:t xml:space="preserve">NexaTech Industrial Solutions Ltd.</w:t>
      </w:r>
      <w:r>
        <w:br/>
      </w:r>
      <w:r>
        <w:t xml:space="preserve">42 HaYarkon Street, Floor 7</w:t>
      </w:r>
      <w:r>
        <w:br/>
      </w:r>
      <w:r>
        <w:t xml:space="preserve">Tel Aviv, Israel 63281</w:t>
      </w:r>
      <w:r>
        <w:br/>
      </w:r>
      <w:r>
        <w:t xml:space="preserve">VAT: 51-804-221-97</w:t>
      </w:r>
      <w:r>
        <w:br/>
      </w:r>
      <w:r>
        <w:t xml:space="preserve">Phone: +972-3-640-8821</w:t>
      </w:r>
      <w:r>
        <w:br/>
      </w:r>
      <w:r>
        <w:t xml:space="preserve">Email: procurement@nexatech-il.com</w:t>
      </w:r>
    </w:p>
    <w:p>
      <w:pPr>
        <w:pStyle w:val="BodyText"/>
      </w:pPr>
      <w:r>
        <w:rPr>
          <w:bCs/>
          <w:b/>
        </w:rPr>
        <w:t xml:space="preserve">Purchase Order No.:</w:t>
      </w:r>
      <w:r>
        <w:t xml:space="preserve"> </w:t>
      </w:r>
      <w:r>
        <w:t xml:space="preserve">PO-2025-RTA-0472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Priority:</w:t>
      </w:r>
      <w:r>
        <w:t xml:space="preserve"> </w:t>
      </w:r>
      <w:r>
        <w:t xml:space="preserve">High</w:t>
      </w:r>
      <w:r>
        <w:br/>
      </w:r>
      <w:r>
        <w:rPr>
          <w:bCs/>
          <w:b/>
        </w:rPr>
        <w:t xml:space="preserve">Department:</w:t>
      </w:r>
      <w:r>
        <w:t xml:space="preserve"> </w:t>
      </w:r>
      <w:r>
        <w:t xml:space="preserve">Advanced Automation &amp; Robotics Division</w:t>
      </w:r>
    </w:p>
    <w:bookmarkStart w:id="20"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RoboCore Engineering &amp; Consulting Group</w:t>
            </w:r>
          </w:p>
        </w:tc>
      </w:tr>
      <w:tr>
        <w:tc>
          <w:tcPr/>
          <w:p>
            <w:pPr>
              <w:pStyle w:val="Compact"/>
              <w:jc w:val="left"/>
            </w:pPr>
            <w:r>
              <w:t xml:space="preserve">Address</w:t>
            </w:r>
          </w:p>
        </w:tc>
        <w:tc>
          <w:tcPr/>
          <w:p>
            <w:pPr>
              <w:pStyle w:val="Compact"/>
              <w:jc w:val="left"/>
            </w:pPr>
            <w:r>
              <w:t xml:space="preserve">18 Allenby Boulevard, Suite 310, Tel Aviv, Israel 65001</w:t>
            </w:r>
          </w:p>
        </w:tc>
      </w:tr>
      <w:tr>
        <w:tc>
          <w:tcPr/>
          <w:p>
            <w:pPr>
              <w:pStyle w:val="Compact"/>
              <w:jc w:val="left"/>
            </w:pPr>
            <w:r>
              <w:t xml:space="preserve">Contact Person</w:t>
            </w:r>
          </w:p>
        </w:tc>
        <w:tc>
          <w:tcPr/>
          <w:p>
            <w:pPr>
              <w:pStyle w:val="Compact"/>
              <w:jc w:val="left"/>
            </w:pPr>
            <w:r>
              <w:t xml:space="preserve">Dr. Miriam Levi, Director of Engineering Services</w:t>
            </w:r>
          </w:p>
        </w:tc>
      </w:tr>
      <w:tr>
        <w:tc>
          <w:tcPr/>
          <w:p>
            <w:pPr>
              <w:pStyle w:val="Compact"/>
              <w:jc w:val="left"/>
            </w:pPr>
            <w:r>
              <w:t xml:space="preserve">Phone</w:t>
            </w:r>
          </w:p>
        </w:tc>
        <w:tc>
          <w:tcPr/>
          <w:p>
            <w:pPr>
              <w:pStyle w:val="Compact"/>
              <w:jc w:val="left"/>
            </w:pPr>
            <w:r>
              <w:t xml:space="preserve">+972-3-527-4410</w:t>
            </w:r>
          </w:p>
        </w:tc>
      </w:tr>
      <w:tr>
        <w:tc>
          <w:tcPr/>
          <w:p>
            <w:pPr>
              <w:pStyle w:val="Compact"/>
              <w:jc w:val="left"/>
            </w:pPr>
            <w:r>
              <w:t xml:space="preserve">Email</w:t>
            </w:r>
          </w:p>
        </w:tc>
        <w:tc>
          <w:tcPr/>
          <w:p>
            <w:pPr>
              <w:pStyle w:val="Compact"/>
              <w:jc w:val="left"/>
            </w:pPr>
            <w:r>
              <w:t xml:space="preserve">contracts@robocore-il.com</w:t>
            </w:r>
          </w:p>
        </w:tc>
      </w:tr>
      <w:tr>
        <w:tc>
          <w:tcPr/>
          <w:p>
            <w:pPr>
              <w:pStyle w:val="Compact"/>
              <w:jc w:val="left"/>
            </w:pPr>
            <w:r>
              <w:t xml:space="preserve">VAT Number</w:t>
            </w:r>
          </w:p>
        </w:tc>
        <w:tc>
          <w:tcPr/>
          <w:p>
            <w:pPr>
              <w:pStyle w:val="Compact"/>
              <w:jc w:val="left"/>
            </w:pPr>
            <w:r>
              <w:t xml:space="preserve">51-662-903-44</w:t>
            </w:r>
          </w:p>
        </w:tc>
      </w:tr>
    </w:tbl>
    <w:bookmarkEnd w:id="20"/>
    <w:bookmarkStart w:id="21" w:name="description-of-purchase"/>
    <w:p>
      <w:pPr>
        <w:pStyle w:val="Heading2"/>
      </w:pPr>
      <w:r>
        <w:t xml:space="preserve">2. Description of Purchase</w:t>
      </w:r>
    </w:p>
    <w:p>
      <w:pPr>
        <w:pStyle w:val="FirstParagraph"/>
      </w:pPr>
      <w:r>
        <w:t xml:space="preserve">This Purchase Order is issued by NexaTech Industrial Solutions Ltd. for the engagement of a senior</w:t>
      </w:r>
      <w:r>
        <w:t xml:space="preserve"> </w:t>
      </w:r>
      <w:r>
        <w:rPr>
          <w:bCs/>
          <w:b/>
        </w:rPr>
        <w:t xml:space="preserve">Robotics Engineer</w:t>
      </w:r>
      <w:r>
        <w:t xml:space="preserve"> </w:t>
      </w:r>
      <w:r>
        <w:t xml:space="preserve">to provide specialized design, development, integration, and maintenance services for our automated manufacturing line located in our primary facility in</w:t>
      </w:r>
      <w:r>
        <w:t xml:space="preserve"> </w:t>
      </w:r>
      <w:r>
        <w:rPr>
          <w:bCs/>
          <w:b/>
        </w:rPr>
        <w:t xml:space="preserve">Israel Tel Aviv</w:t>
      </w:r>
      <w:r>
        <w:t xml:space="preserve">. The Robotics Engineer shall be responsible for the end-to-end delivery of a multi-axis robotic assembly system, including mechanical design, control programming (PLC and ROS-based), sensor calibration, end-effector integration, and full commissioning of the robotic cell. The scope of work encompasses all phases from initial feasibility analysis through to final acceptance testing and a twelve-month post-deployment support period.</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Robotics Engineer – System Design &amp; Architecture (feasibility study, CAD modeling, kinematic analysis, and technical specification for a 6-axis industrial robotic cell)</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Robotics Engineer – Control System Programming &amp; Integration (PLC ladder logic, ROS 2 node development, HMI configuration, and safety interlock programming)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Robotics Engineer – On-Site Commissioning &amp; Calibration in Israel Tel Aviv facility (mechanical alignment, sensor tuning, cycle-time optimization, and operator training – 3 weeks on-site)</w:t>
            </w:r>
          </w:p>
        </w:tc>
        <w:tc>
          <w:tcPr/>
          <w:p>
            <w:pPr>
              <w:pStyle w:val="Compact"/>
              <w:jc w:val="left"/>
            </w:pPr>
            <w:r>
              <w:t xml:space="preserve">3</w:t>
            </w:r>
          </w:p>
        </w:tc>
        <w:tc>
          <w:tcPr/>
          <w:p>
            <w:pPr>
              <w:pStyle w:val="Compact"/>
              <w:jc w:val="left"/>
            </w:pPr>
            <w:r>
              <w:t xml:space="preserve">Weeks</w:t>
            </w:r>
          </w:p>
        </w:tc>
        <w:tc>
          <w:tcPr/>
          <w:p>
            <w:pPr>
              <w:pStyle w:val="Compact"/>
              <w:jc w:val="left"/>
            </w:pPr>
            <w:r>
              <w:t xml:space="preserve">42,000</w:t>
            </w:r>
          </w:p>
        </w:tc>
        <w:tc>
          <w:tcPr/>
          <w:p>
            <w:pPr>
              <w:pStyle w:val="Compact"/>
              <w:jc w:val="left"/>
            </w:pPr>
            <w:r>
              <w:t xml:space="preserve">126,000</w:t>
            </w:r>
          </w:p>
        </w:tc>
      </w:tr>
      <w:tr>
        <w:tc>
          <w:tcPr/>
          <w:p>
            <w:pPr>
              <w:pStyle w:val="Compact"/>
              <w:jc w:val="left"/>
            </w:pPr>
            <w:r>
              <w:t xml:space="preserve">4</w:t>
            </w:r>
          </w:p>
        </w:tc>
        <w:tc>
          <w:tcPr/>
          <w:p>
            <w:pPr>
              <w:pStyle w:val="Compact"/>
              <w:jc w:val="left"/>
            </w:pPr>
            <w:r>
              <w:t xml:space="preserve">Robotics Engineer – Post-Deployment Technical Support &amp; Preventive Maintenance (12-month retainer, remote and on-call response within 24 hours, quarterly site visits to Israel Tel Aviv)</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5</w:t>
            </w:r>
          </w:p>
        </w:tc>
        <w:tc>
          <w:tcPr/>
          <w:p>
            <w:pPr>
              <w:pStyle w:val="Compact"/>
              <w:jc w:val="left"/>
            </w:pPr>
            <w:r>
              <w:t xml:space="preserve">Robotics Engineer – Documentation &amp; Knowledge Transfer (complete technical manual, as-built drawings, programming source code, and two-day training workshop for in-house maintenance staff)</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65,000</w:t>
            </w:r>
          </w:p>
        </w:tc>
        <w:tc>
          <w:tcPr/>
          <w:p>
            <w:pPr>
              <w:pStyle w:val="Compact"/>
              <w:jc w:val="left"/>
            </w:pPr>
            <w:r>
              <w:t xml:space="preserve">65,000</w:t>
            </w:r>
          </w:p>
        </w:tc>
      </w:tr>
      <w:tr>
        <w:tc>
          <w:tcPr>
            <w:gridSpan w:val="5"/>
          </w:tcPr>
          <w:p>
            <w:pPr>
              <w:pStyle w:val="Compact"/>
              <w:jc w:val="right"/>
            </w:pPr>
            <w:r>
              <w:t xml:space="preserve">Subtotal</w:t>
            </w:r>
          </w:p>
        </w:tc>
        <w:tc>
          <w:tcPr/>
          <w:p>
            <w:pPr>
              <w:pStyle w:val="Compact"/>
              <w:jc w:val="left"/>
            </w:pPr>
            <w:r>
              <w:t xml:space="preserve">838,000</w:t>
            </w:r>
          </w:p>
        </w:tc>
      </w:tr>
      <w:tr>
        <w:tc>
          <w:tcPr>
            <w:gridSpan w:val="5"/>
          </w:tcPr>
          <w:p>
            <w:pPr>
              <w:pStyle w:val="Compact"/>
              <w:jc w:val="right"/>
            </w:pPr>
            <w:r>
              <w:t xml:space="preserve">VAT (18%)</w:t>
            </w:r>
          </w:p>
        </w:tc>
        <w:tc>
          <w:tcPr/>
          <w:p>
            <w:pPr>
              <w:pStyle w:val="Compact"/>
              <w:jc w:val="left"/>
            </w:pPr>
            <w:r>
              <w:t xml:space="preserve">150,840</w:t>
            </w:r>
          </w:p>
        </w:tc>
      </w:tr>
      <w:tr>
        <w:tc>
          <w:tcPr>
            <w:gridSpan w:val="5"/>
          </w:tcPr>
          <w:p>
            <w:pPr>
              <w:pStyle w:val="Compact"/>
              <w:jc w:val="right"/>
            </w:pPr>
            <w:r>
              <w:t xml:space="preserve">Grand Total (ILS)</w:t>
            </w:r>
          </w:p>
        </w:tc>
        <w:tc>
          <w:tcPr/>
          <w:p>
            <w:pPr>
              <w:pStyle w:val="Compact"/>
              <w:jc w:val="left"/>
            </w:pPr>
            <w:r>
              <w:t xml:space="preserve">988,840</w:t>
            </w:r>
          </w:p>
        </w:tc>
      </w:tr>
    </w:tbl>
    <w:bookmarkEnd w:id="22"/>
    <w:bookmarkStart w:id="23" w:name="scope-of-work-and-deliverables"/>
    <w:p>
      <w:pPr>
        <w:pStyle w:val="Heading2"/>
      </w:pPr>
      <w:r>
        <w:t xml:space="preserve">4. Scope of Work and Deliverables</w:t>
      </w:r>
    </w:p>
    <w:p>
      <w:pPr>
        <w:pStyle w:val="FirstParagraph"/>
      </w:pPr>
      <w:r>
        <w:t xml:space="preserve">The Robotics Engineer engaged under this Purchase Order shall deliver the following milestones:</w:t>
      </w:r>
    </w:p>
    <w:p>
      <w:pPr>
        <w:numPr>
          <w:ilvl w:val="0"/>
          <w:numId w:val="1001"/>
        </w:numPr>
        <w:pStyle w:val="Compact"/>
      </w:pPr>
      <w:r>
        <w:rPr>
          <w:bCs/>
          <w:b/>
        </w:rPr>
        <w:t xml:space="preserve">Milestone 1 (Week 4):</w:t>
      </w:r>
      <w:r>
        <w:t xml:space="preserve"> </w:t>
      </w:r>
      <w:r>
        <w:t xml:space="preserve">Completion of the system design package, including 3D CAD models, kinematic simulation reports, and a detailed bill of materials for all robotic components. All design work shall comply with ISO 10218 and IEC 60204-1 standards applicable in Israel Tel Aviv industrial zones.</w:t>
      </w:r>
    </w:p>
    <w:p>
      <w:pPr>
        <w:numPr>
          <w:ilvl w:val="0"/>
          <w:numId w:val="1001"/>
        </w:numPr>
        <w:pStyle w:val="Compact"/>
      </w:pPr>
      <w:r>
        <w:rPr>
          <w:bCs/>
          <w:b/>
        </w:rPr>
        <w:t xml:space="preserve">Milestone 2 (Week 10):</w:t>
      </w:r>
      <w:r>
        <w:t xml:space="preserve"> </w:t>
      </w:r>
      <w:r>
        <w:t xml:space="preserve">Delivery of fully tested control software, including PLC programs, ROS 2 packages, and HMI screens, validated in a simulated environment prior to on-site deployment.</w:t>
      </w:r>
    </w:p>
    <w:p>
      <w:pPr>
        <w:numPr>
          <w:ilvl w:val="0"/>
          <w:numId w:val="1001"/>
        </w:numPr>
        <w:pStyle w:val="Compact"/>
      </w:pPr>
      <w:r>
        <w:rPr>
          <w:bCs/>
          <w:b/>
        </w:rPr>
        <w:t xml:space="preserve">Milestone 3 (Week 13):</w:t>
      </w:r>
      <w:r>
        <w:t xml:space="preserve"> </w:t>
      </w:r>
      <w:r>
        <w:t xml:space="preserve">On-site installation, mechanical integration, and commissioning of the robotic cell at the NexaTech facility in Israel Tel Aviv. The Robotics Engineer shall ensure the cell achieves a minimum cycle time of 4.2 seconds per unit with a defect rate below 0.5 percent.</w:t>
      </w:r>
    </w:p>
    <w:p>
      <w:pPr>
        <w:numPr>
          <w:ilvl w:val="0"/>
          <w:numId w:val="1001"/>
        </w:numPr>
        <w:pStyle w:val="Compact"/>
      </w:pPr>
      <w:r>
        <w:rPr>
          <w:bCs/>
          <w:b/>
        </w:rPr>
        <w:t xml:space="preserve">Milestone 4 (Week 14):</w:t>
      </w:r>
      <w:r>
        <w:t xml:space="preserve"> </w:t>
      </w:r>
      <w:r>
        <w:t xml:space="preserve">Final acceptance testing, operator training, and handover of all documentation. The Robotics Engineer shall remain available for a 30-day warranty period following acceptance.</w:t>
      </w:r>
    </w:p>
    <w:p>
      <w:pPr>
        <w:numPr>
          <w:ilvl w:val="0"/>
          <w:numId w:val="1001"/>
        </w:numPr>
        <w:pStyle w:val="Compact"/>
      </w:pPr>
      <w:r>
        <w:rPr>
          <w:bCs/>
          <w:b/>
        </w:rPr>
        <w:t xml:space="preserve">Milestone 5 (Months 2–12):</w:t>
      </w:r>
      <w:r>
        <w:t xml:space="preserve"> </w:t>
      </w:r>
      <w:r>
        <w:t xml:space="preserve">Ongoing technical support, preventive maintenance scheduling, firmware updates, and performance monitoring as outlined in Line Item 4.</w:t>
      </w:r>
    </w:p>
    <w:bookmarkEnd w:id="23"/>
    <w:bookmarkStart w:id="24"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Israel. Any disputes arising from this Purchase Order shall be subject to the exclusive jurisdiction of the competent courts in Israel Tel Aviv.</w:t>
      </w:r>
    </w:p>
    <w:p>
      <w:pPr>
        <w:numPr>
          <w:ilvl w:val="0"/>
          <w:numId w:val="1002"/>
        </w:numPr>
        <w:pStyle w:val="Compact"/>
      </w:pPr>
      <w:r>
        <w:rPr>
          <w:bCs/>
          <w:b/>
        </w:rPr>
        <w:t xml:space="preserve">Payment Terms:</w:t>
      </w:r>
      <w:r>
        <w:t xml:space="preserve"> </w:t>
      </w:r>
      <w:r>
        <w:t xml:space="preserve">Payment shall be made in four installments: 25 percent upon signing, 35 percent upon completion of Milestone 2, 30 percent upon successful acceptance testing, and 10 percent upon completion of the 12-month support period. All payments shall be made via bank transfer to the vendor's account in Israel Tel Aviv within 30 days of invoice receipt.</w:t>
      </w:r>
    </w:p>
    <w:p>
      <w:pPr>
        <w:numPr>
          <w:ilvl w:val="0"/>
          <w:numId w:val="1002"/>
        </w:numPr>
        <w:pStyle w:val="Compact"/>
      </w:pPr>
      <w:r>
        <w:rPr>
          <w:bCs/>
          <w:b/>
        </w:rPr>
        <w:t xml:space="preserve">Confidentiality:</w:t>
      </w:r>
      <w:r>
        <w:t xml:space="preserve"> </w:t>
      </w:r>
      <w:r>
        <w:t xml:space="preserve">The Robotics Engineer shall treat all proprietary information, trade secrets, and technical data of NexaTech Industrial Solutions Ltd. as strictly confidential. This obligation shall survive the termination of this Purchase Order for a period of five years.</w:t>
      </w:r>
    </w:p>
    <w:p>
      <w:pPr>
        <w:numPr>
          <w:ilvl w:val="0"/>
          <w:numId w:val="1002"/>
        </w:numPr>
        <w:pStyle w:val="Compact"/>
      </w:pPr>
      <w:r>
        <w:rPr>
          <w:bCs/>
          <w:b/>
        </w:rPr>
        <w:t xml:space="preserve">Intellectual Property:</w:t>
      </w:r>
      <w:r>
        <w:t xml:space="preserve"> </w:t>
      </w:r>
      <w:r>
        <w:t xml:space="preserve">All custom designs, programs, and documentation created specifically for NexaTech under this Purchase Order shall become the sole property of NexaTech upon full payment. The Robotics Engineer retains the right to use generic methodologies and pre-existing tools.</w:t>
      </w:r>
    </w:p>
    <w:p>
      <w:pPr>
        <w:numPr>
          <w:ilvl w:val="0"/>
          <w:numId w:val="1002"/>
        </w:numPr>
        <w:pStyle w:val="Compact"/>
      </w:pPr>
      <w:r>
        <w:rPr>
          <w:bCs/>
          <w:b/>
        </w:rPr>
        <w:t xml:space="preserve">Insurance and Liability:</w:t>
      </w:r>
      <w:r>
        <w:t xml:space="preserve"> </w:t>
      </w:r>
      <w:r>
        <w:t xml:space="preserve">The Robotics Engineer shall maintain professional liability insurance with a minimum coverage of ILS 2,000,000 and workers' compensation insurance for all personnel working on-site in Israel Tel Aviv.</w:t>
      </w:r>
    </w:p>
    <w:p>
      <w:pPr>
        <w:numPr>
          <w:ilvl w:val="0"/>
          <w:numId w:val="1002"/>
        </w:numPr>
        <w:pStyle w:val="Compact"/>
      </w:pPr>
      <w:r>
        <w:rPr>
          <w:bCs/>
          <w:b/>
        </w:rPr>
        <w:t xml:space="preserve">Termination:</w:t>
      </w:r>
      <w:r>
        <w:t xml:space="preserve"> </w:t>
      </w:r>
      <w:r>
        <w:t xml:space="preserve">Either party may terminate this Purchase Order with 30 days' written notice. In the event of termination for convenience, NexaTech shall pay for all work completed up to the termination date. In the event of termination for cause, the Robotics Engineer shall be liable for any direct damages incurred.</w:t>
      </w:r>
    </w:p>
    <w:p>
      <w:pPr>
        <w:numPr>
          <w:ilvl w:val="0"/>
          <w:numId w:val="1002"/>
        </w:numPr>
        <w:pStyle w:val="Compact"/>
      </w:pPr>
      <w:r>
        <w:rPr>
          <w:bCs/>
          <w:b/>
        </w:rPr>
        <w:t xml:space="preserve">Compliance:</w:t>
      </w:r>
      <w:r>
        <w:t xml:space="preserve"> </w:t>
      </w:r>
      <w:r>
        <w:t xml:space="preserve">The Robotics Engineer shall comply with all applicable Israeli labor laws, occupational health and safety regulations, and environmental standards in force in Israel Tel Aviv at the time of performance.</w:t>
      </w:r>
    </w:p>
    <w:bookmarkEnd w:id="24"/>
    <w:bookmarkStart w:id="25" w:name="acceptance-and-authorization"/>
    <w:p>
      <w:pPr>
        <w:pStyle w:val="Heading2"/>
      </w:pPr>
      <w:r>
        <w:t xml:space="preserve">6. Acceptance and Authorization</w:t>
      </w:r>
    </w:p>
    <w:p>
      <w:pPr>
        <w:pStyle w:val="FirstParagraph"/>
      </w:pPr>
      <w:r>
        <w:t xml:space="preserve">This Purchase Order constitutes a binding offer for the purchase of the Robotics Engineer services described herein. Acceptance of this Purchase Order by the vendor shall be deemed by the return of a signed copy within ten (10) business days of the date of issue. Failure to respond within this period shall be interpreted as a declination of the offer.</w:t>
      </w:r>
    </w:p>
    <w:p>
      <w:pPr>
        <w:pStyle w:val="BodyText"/>
      </w:pPr>
      <w:r>
        <w:rPr>
          <w:bCs/>
          <w:b/>
        </w:rPr>
        <w:t xml:space="preserve">For and on behalf of NexaTech Industrial Solutions Ltd.:</w:t>
      </w:r>
      <w:r>
        <w:br/>
      </w:r>
      <w:r>
        <w:br/>
      </w:r>
      <w:r>
        <w:t xml:space="preserve">Name: ______________________________</w:t>
      </w:r>
      <w:r>
        <w:br/>
      </w:r>
      <w:r>
        <w:t xml:space="preserve">Title: Chief Procurement Officer</w:t>
      </w:r>
      <w:r>
        <w:br/>
      </w:r>
      <w:r>
        <w:t xml:space="preserve">Signature: ______________________________</w:t>
      </w:r>
      <w:r>
        <w:br/>
      </w:r>
      <w:r>
        <w:t xml:space="preserve">Date: ______________________________</w:t>
      </w:r>
    </w:p>
    <w:p>
      <w:pPr>
        <w:pStyle w:val="BodyText"/>
      </w:pPr>
      <w:r>
        <w:rPr>
          <w:bCs/>
          <w:b/>
        </w:rPr>
        <w:t xml:space="preserve">For and on behalf of RoboCore Engineering &amp; Consulting Group:</w:t>
      </w:r>
      <w:r>
        <w:br/>
      </w:r>
      <w:r>
        <w:br/>
      </w:r>
      <w:r>
        <w:t xml:space="preserve">Name: ______________________________</w:t>
      </w:r>
      <w:r>
        <w:br/>
      </w:r>
      <w:r>
        <w:t xml:space="preserve">Title: Director of Engineering Services</w:t>
      </w:r>
      <w:r>
        <w:br/>
      </w:r>
      <w:r>
        <w:t xml:space="preserve">Signature: ______________________________</w:t>
      </w:r>
      <w:r>
        <w:br/>
      </w:r>
      <w:r>
        <w:t xml:space="preserve">Date: ______________________________</w:t>
      </w:r>
    </w:p>
    <w:p>
      <w:pPr>
        <w:pStyle w:val="BodyText"/>
      </w:pPr>
      <w:r>
        <w:t xml:space="preserve">— End of Purchase Order PO-2025-RTA-0472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Israel Tel Aviv</dc:title>
  <dc:creator/>
  <dc:language>en</dc:language>
  <cp:keywords/>
  <dcterms:created xsi:type="dcterms:W3CDTF">2026-10-10T06:25:06Z</dcterms:created>
  <dcterms:modified xsi:type="dcterms:W3CDTF">2026-10-10T06:25:06Z</dcterms:modified>
</cp:coreProperties>
</file>

<file path=docProps/custom.xml><?xml version="1.0" encoding="utf-8"?>
<Properties xmlns="http://schemas.openxmlformats.org/officeDocument/2006/custom-properties" xmlns:vt="http://schemas.openxmlformats.org/officeDocument/2006/docPropsVTypes"/>
</file>