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Robotics</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purchase-order"/>
    <w:p>
      <w:pPr>
        <w:pStyle w:val="Heading1"/>
      </w:pPr>
      <w:r>
        <w:t xml:space="preserve">PURCHASE ORDER</w:t>
      </w:r>
    </w:p>
    <w:p>
      <w:pPr>
        <w:pStyle w:val="FirstParagraph"/>
      </w:pPr>
      <w:r>
        <w:t xml:space="preserve">Procurement of Robotics Engineer Professional Services</w:t>
      </w:r>
    </w:p>
    <w:p>
      <w:pPr>
        <w:pStyle w:val="BodyText"/>
      </w:pPr>
      <w:r>
        <w:t xml:space="preserve">United Arab Emirates Dubai | Document Reference: PO-2025-DXB-RE-0047</w:t>
      </w:r>
    </w:p>
    <w:bookmarkEnd w:id="20"/>
    <w:bookmarkStart w:id="21" w:name="purchasing-entity-buyer"/>
    <w:p>
      <w:pPr>
        <w:pStyle w:val="Heading3"/>
      </w:pPr>
      <w:r>
        <w:t xml:space="preserve">Purchasing Entity (Buyer)</w:t>
      </w:r>
    </w:p>
    <w:p>
      <w:pPr>
        <w:pStyle w:val="FirstParagraph"/>
      </w:pPr>
      <w:r>
        <w:rPr>
          <w:bCs/>
          <w:b/>
        </w:rPr>
        <w:t xml:space="preserve">Company:</w:t>
      </w:r>
      <w:r>
        <w:t xml:space="preserve"> </w:t>
      </w:r>
      <w:r>
        <w:t xml:space="preserve">Gulf Advanced Automation Solutions LLC</w:t>
      </w:r>
    </w:p>
    <w:p>
      <w:pPr>
        <w:pStyle w:val="BodyText"/>
      </w:pPr>
      <w:r>
        <w:rPr>
          <w:bCs/>
          <w:b/>
        </w:rPr>
        <w:t xml:space="preserve">Address:</w:t>
      </w:r>
      <w:r>
        <w:t xml:space="preserve"> </w:t>
      </w:r>
      <w:r>
        <w:t xml:space="preserve">Building 14, Sheikh Zayed Road, Dubai Financial District, United Arab Emirates Dubai</w:t>
      </w:r>
    </w:p>
    <w:p>
      <w:pPr>
        <w:pStyle w:val="BodyText"/>
      </w:pPr>
      <w:r>
        <w:rPr>
          <w:bCs/>
          <w:b/>
        </w:rPr>
        <w:t xml:space="preserve">Trade License No.:</w:t>
      </w:r>
      <w:r>
        <w:t xml:space="preserve"> </w:t>
      </w:r>
      <w:r>
        <w:t xml:space="preserve">104578923</w:t>
      </w:r>
    </w:p>
    <w:p>
      <w:pPr>
        <w:pStyle w:val="BodyText"/>
      </w:pPr>
      <w:r>
        <w:rPr>
          <w:bCs/>
          <w:b/>
        </w:rPr>
        <w:t xml:space="preserve">TRN:</w:t>
      </w:r>
      <w:r>
        <w:t xml:space="preserve"> </w:t>
      </w:r>
      <w:r>
        <w:t xml:space="preserve">100457892300003</w:t>
      </w:r>
    </w:p>
    <w:p>
      <w:pPr>
        <w:pStyle w:val="BodyText"/>
      </w:pPr>
      <w:r>
        <w:rPr>
          <w:bCs/>
          <w:b/>
        </w:rPr>
        <w:t xml:space="preserve">Contact:</w:t>
      </w:r>
      <w:r>
        <w:t xml:space="preserve"> </w:t>
      </w:r>
      <w:r>
        <w:t xml:space="preserve">procurement@gulfautomation.ae</w:t>
      </w:r>
    </w:p>
    <w:p>
      <w:pPr>
        <w:pStyle w:val="BodyText"/>
      </w:pPr>
      <w:r>
        <w:rPr>
          <w:bCs/>
          <w:b/>
        </w:rPr>
        <w:t xml:space="preserve">Phone:</w:t>
      </w:r>
      <w:r>
        <w:t xml:space="preserve"> </w:t>
      </w:r>
      <w:r>
        <w:t xml:space="preserve">+971 4 555 8821</w:t>
      </w:r>
    </w:p>
    <w:bookmarkEnd w:id="21"/>
    <w:bookmarkStart w:id="22" w:name="service-provider-seller"/>
    <w:p>
      <w:pPr>
        <w:pStyle w:val="Heading3"/>
      </w:pPr>
      <w:r>
        <w:t xml:space="preserve">Service Provider (Seller)</w:t>
      </w:r>
    </w:p>
    <w:p>
      <w:pPr>
        <w:pStyle w:val="FirstParagraph"/>
      </w:pPr>
      <w:r>
        <w:rPr>
          <w:bCs/>
          <w:b/>
        </w:rPr>
        <w:t xml:space="preserve">Company:</w:t>
      </w:r>
      <w:r>
        <w:t xml:space="preserve"> </w:t>
      </w:r>
      <w:r>
        <w:t xml:space="preserve">Nexus Robotics &amp; Engineering Consultants FZ-LLC</w:t>
      </w:r>
    </w:p>
    <w:p>
      <w:pPr>
        <w:pStyle w:val="BodyText"/>
      </w:pPr>
      <w:r>
        <w:rPr>
          <w:bCs/>
          <w:b/>
        </w:rPr>
        <w:t xml:space="preserve">Address:</w:t>
      </w:r>
      <w:r>
        <w:t xml:space="preserve"> </w:t>
      </w:r>
      <w:r>
        <w:t xml:space="preserve">Unit 207, Dubai Internet City, United Arab Emirates Dubai</w:t>
      </w:r>
    </w:p>
    <w:p>
      <w:pPr>
        <w:pStyle w:val="BodyText"/>
      </w:pPr>
      <w:r>
        <w:rPr>
          <w:bCs/>
          <w:b/>
        </w:rPr>
        <w:t xml:space="preserve">Trade License No.:</w:t>
      </w:r>
      <w:r>
        <w:t xml:space="preserve"> </w:t>
      </w:r>
      <w:r>
        <w:t xml:space="preserve">109876541</w:t>
      </w:r>
    </w:p>
    <w:p>
      <w:pPr>
        <w:pStyle w:val="BodyText"/>
      </w:pPr>
      <w:r>
        <w:rPr>
          <w:bCs/>
          <w:b/>
        </w:rPr>
        <w:t xml:space="preserve">TRN:</w:t>
      </w:r>
      <w:r>
        <w:t xml:space="preserve"> </w:t>
      </w:r>
      <w:r>
        <w:t xml:space="preserve">100987654100003</w:t>
      </w:r>
    </w:p>
    <w:p>
      <w:pPr>
        <w:pStyle w:val="BodyText"/>
      </w:pPr>
      <w:r>
        <w:rPr>
          <w:bCs/>
          <w:b/>
        </w:rPr>
        <w:t xml:space="preserve">Contact:</w:t>
      </w:r>
      <w:r>
        <w:t xml:space="preserve"> </w:t>
      </w:r>
      <w:r>
        <w:t xml:space="preserve">contracts@nexusrobotics.ae</w:t>
      </w:r>
    </w:p>
    <w:p>
      <w:pPr>
        <w:pStyle w:val="BodyText"/>
      </w:pPr>
      <w:r>
        <w:rPr>
          <w:bCs/>
          <w:b/>
        </w:rPr>
        <w:t xml:space="preserve">Phone:</w:t>
      </w:r>
      <w:r>
        <w:t xml:space="preserve"> </w:t>
      </w:r>
      <w:r>
        <w:t xml:space="preserve">+971 4 333 7742</w:t>
      </w:r>
    </w:p>
    <w:bookmarkEnd w:id="22"/>
    <w:bookmarkStart w:id="23" w:name="purchase-order-details"/>
    <w:p>
      <w:pPr>
        <w:pStyle w:val="Heading3"/>
      </w:pPr>
      <w:r>
        <w:t xml:space="preserve">Purchase Order Details</w:t>
      </w:r>
    </w:p>
    <w:p>
      <w:pPr>
        <w:pStyle w:val="FirstParagraph"/>
      </w:pPr>
      <w:r>
        <w:rPr>
          <w:bCs/>
          <w:b/>
        </w:rPr>
        <w:t xml:space="preserve">Purchase Order No.:</w:t>
      </w:r>
      <w:r>
        <w:t xml:space="preserve"> </w:t>
      </w:r>
      <w:r>
        <w:t xml:space="preserve">PO-2025-DXB-RE-0047</w:t>
      </w:r>
    </w:p>
    <w:p>
      <w:pPr>
        <w:pStyle w:val="BodyText"/>
      </w:pPr>
      <w:r>
        <w:rPr>
          <w:bCs/>
          <w:b/>
        </w:rPr>
        <w:t xml:space="preserve">Date of Issue:</w:t>
      </w:r>
      <w:r>
        <w:t xml:space="preserve"> </w:t>
      </w:r>
      <w:r>
        <w:t xml:space="preserve">15 June 2025</w:t>
      </w:r>
    </w:p>
    <w:p>
      <w:pPr>
        <w:pStyle w:val="BodyText"/>
      </w:pPr>
      <w:r>
        <w:rPr>
          <w:bCs/>
          <w:b/>
        </w:rPr>
        <w:t xml:space="preserve">Required Start Date:</w:t>
      </w:r>
      <w:r>
        <w:t xml:space="preserve"> </w:t>
      </w:r>
      <w:r>
        <w:t xml:space="preserve">01 July 2025</w:t>
      </w:r>
    </w:p>
    <w:p>
      <w:pPr>
        <w:pStyle w:val="BodyText"/>
      </w:pPr>
      <w:r>
        <w:rPr>
          <w:bCs/>
          <w:b/>
        </w:rPr>
        <w:t xml:space="preserve">Contract Duration:</w:t>
      </w:r>
      <w:r>
        <w:t xml:space="preserve"> </w:t>
      </w:r>
      <w:r>
        <w:t xml:space="preserve">12 months (renewable)</w:t>
      </w:r>
    </w:p>
    <w:p>
      <w:pPr>
        <w:pStyle w:val="BodyText"/>
      </w:pPr>
      <w:r>
        <w:rPr>
          <w:bCs/>
          <w:b/>
        </w:rPr>
        <w:t xml:space="preserve">Currency:</w:t>
      </w:r>
      <w:r>
        <w:t xml:space="preserve"> </w:t>
      </w:r>
      <w:r>
        <w:t xml:space="preserve">UAE Dirham (AED)</w:t>
      </w:r>
    </w:p>
    <w:p>
      <w:pPr>
        <w:pStyle w:val="BodyText"/>
      </w:pPr>
      <w:r>
        <w:rPr>
          <w:bCs/>
          <w:b/>
        </w:rPr>
        <w:t xml:space="preserve">Payment Terms:</w:t>
      </w:r>
      <w:r>
        <w:t xml:space="preserve"> </w:t>
      </w:r>
      <w:r>
        <w:t xml:space="preserve">Net 30 days from invoice</w:t>
      </w:r>
    </w:p>
    <w:bookmarkEnd w:id="23"/>
    <w:bookmarkStart w:id="24" w:name="project-reference"/>
    <w:p>
      <w:pPr>
        <w:pStyle w:val="Heading3"/>
      </w:pPr>
      <w:r>
        <w:t xml:space="preserve">Project Reference</w:t>
      </w:r>
    </w:p>
    <w:p>
      <w:pPr>
        <w:pStyle w:val="FirstParagraph"/>
      </w:pPr>
      <w:r>
        <w:rPr>
          <w:bCs/>
          <w:b/>
        </w:rPr>
        <w:t xml:space="preserve">Project Name:</w:t>
      </w:r>
      <w:r>
        <w:t xml:space="preserve"> </w:t>
      </w:r>
      <w:r>
        <w:t xml:space="preserve">Smart Manufacturing Integration – Phase II</w:t>
      </w:r>
    </w:p>
    <w:p>
      <w:pPr>
        <w:pStyle w:val="BodyText"/>
      </w:pPr>
      <w:r>
        <w:rPr>
          <w:bCs/>
          <w:b/>
        </w:rPr>
        <w:t xml:space="preserve">Project Location:</w:t>
      </w:r>
      <w:r>
        <w:t xml:space="preserve"> </w:t>
      </w:r>
      <w:r>
        <w:t xml:space="preserve">Jebel Ali Free Zone, United Arab Emirates Dubai</w:t>
      </w:r>
    </w:p>
    <w:p>
      <w:pPr>
        <w:pStyle w:val="BodyText"/>
      </w:pPr>
      <w:r>
        <w:rPr>
          <w:bCs/>
          <w:b/>
        </w:rPr>
        <w:t xml:space="preserve">Department:</w:t>
      </w:r>
      <w:r>
        <w:t xml:space="preserve"> </w:t>
      </w:r>
      <w:r>
        <w:t xml:space="preserve">Industrial Automation &amp; Robotics Division</w:t>
      </w:r>
    </w:p>
    <w:p>
      <w:pPr>
        <w:pStyle w:val="BodyText"/>
      </w:pPr>
      <w:r>
        <w:rPr>
          <w:bCs/>
          <w:b/>
        </w:rPr>
        <w:t xml:space="preserve">Authorized By:</w:t>
      </w:r>
      <w:r>
        <w:t xml:space="preserve"> </w:t>
      </w:r>
      <w:r>
        <w:t xml:space="preserve">Dr. Khalid Al Mansoori, Chief Technology Officer</w:t>
      </w:r>
    </w:p>
    <w:p>
      <w:pPr>
        <w:pStyle w:val="BodyText"/>
      </w:pPr>
      <w:r>
        <w:rPr>
          <w:bCs/>
          <w:b/>
        </w:rPr>
        <w:t xml:space="preserve">Approval Date:</w:t>
      </w:r>
      <w:r>
        <w:t xml:space="preserve"> </w:t>
      </w:r>
      <w:r>
        <w:t xml:space="preserve">10 June 2025</w:t>
      </w:r>
    </w:p>
    <w:bookmarkEnd w:id="24"/>
    <w:p>
      <w:pPr>
        <w:pStyle w:val="BodyText"/>
      </w:pPr>
      <w:r>
        <w:t xml:space="preserve">Scope of Procurement – Robotics Engineer Services</w:t>
      </w:r>
    </w:p>
    <w:p>
      <w:pPr>
        <w:pStyle w:val="BodyText"/>
      </w:pPr>
      <w:r>
        <w:t xml:space="preserve">This</w:t>
      </w:r>
      <w:r>
        <w:t xml:space="preserve"> </w:t>
      </w:r>
      <w:r>
        <w:t xml:space="preserve">Purchase Order</w:t>
      </w:r>
      <w:r>
        <w:t xml:space="preserve"> </w:t>
      </w:r>
      <w:r>
        <w:t xml:space="preserve">is issued by Gulf Advanced Automation Solutions LLC to formally procure the professional services of a qualified</w:t>
      </w:r>
      <w:r>
        <w:t xml:space="preserve"> </w:t>
      </w:r>
      <w:r>
        <w:t xml:space="preserve">Robotics Engineer</w:t>
      </w:r>
      <w:r>
        <w:t xml:space="preserve"> </w:t>
      </w:r>
      <w:r>
        <w:t xml:space="preserve">to be deployed at the client's operational facilities within</w:t>
      </w:r>
      <w:r>
        <w:t xml:space="preserve"> </w:t>
      </w:r>
      <w:r>
        <w:t xml:space="preserve">United Arab Emirates Dubai</w:t>
      </w:r>
      <w:r>
        <w:t xml:space="preserve">. The</w:t>
      </w:r>
      <w:r>
        <w:t xml:space="preserve"> </w:t>
      </w:r>
      <w:r>
        <w:t xml:space="preserve">Robotics Engineer</w:t>
      </w:r>
      <w:r>
        <w:t xml:space="preserve"> </w:t>
      </w:r>
      <w:r>
        <w:t xml:space="preserve">shall be responsible for the design, development, programming, commissioning, and maintenance of industrial robotic systems, collaborative robots (cobots), and automated guided vehicles (AGVs) as part of the Smart Manufacturing Integration project. All services rendered under this</w:t>
      </w:r>
      <w:r>
        <w:t xml:space="preserve"> </w:t>
      </w:r>
      <w:r>
        <w:t xml:space="preserve">Purchase Order</w:t>
      </w:r>
      <w:r>
        <w:t xml:space="preserve"> </w:t>
      </w:r>
      <w:r>
        <w:t xml:space="preserve">shall comply with the regulatory standards set forth by the Dubai Municipality, the Department of Economic Development (DED) of Dubai, and the relevant technical codes applicable in the</w:t>
      </w:r>
      <w:r>
        <w:t xml:space="preserve"> </w:t>
      </w:r>
      <w:r>
        <w:t xml:space="preserve">United Arab Emirates Dubai</w:t>
      </w:r>
      <w:r>
        <w:t xml:space="preserve"> </w:t>
      </w:r>
      <w:r>
        <w:t xml:space="preserve">jurisdiction.</w:t>
      </w:r>
    </w:p>
    <w:p>
      <w:pPr>
        <w:pStyle w:val="BodyText"/>
      </w:pPr>
      <w:r>
        <w:t xml:space="preserve">Itemized Services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Rate (AED)</w:t>
            </w:r>
          </w:p>
        </w:tc>
        <w:tc>
          <w:tcPr/>
          <w:p>
            <w:pPr>
              <w:pStyle w:val="Compact"/>
              <w:jc w:val="left"/>
            </w:pPr>
            <w:r>
              <w:t xml:space="preserve">Total (AED)</w:t>
            </w:r>
          </w:p>
        </w:tc>
      </w:tr>
      <w:tr>
        <w:tc>
          <w:tcPr/>
          <w:p>
            <w:pPr>
              <w:pStyle w:val="Compact"/>
              <w:jc w:val="left"/>
            </w:pPr>
            <w:r>
              <w:t xml:space="preserve">01</w:t>
            </w:r>
          </w:p>
        </w:tc>
        <w:tc>
          <w:tcPr/>
          <w:p>
            <w:pPr>
              <w:pStyle w:val="Compact"/>
              <w:jc w:val="left"/>
            </w:pPr>
            <w:r>
              <w:t xml:space="preserve">Senior Robotics Engineer – System Design &amp; Architecture (industrial robotic cells, end-effectors, and control systems)</w:t>
            </w:r>
          </w:p>
        </w:tc>
        <w:tc>
          <w:tcPr/>
          <w:p>
            <w:pPr>
              <w:pStyle w:val="Compact"/>
              <w:jc w:val="left"/>
            </w:pPr>
            <w:r>
              <w:t xml:space="preserve">1</w:t>
            </w:r>
          </w:p>
        </w:tc>
        <w:tc>
          <w:tcPr/>
          <w:p>
            <w:pPr>
              <w:pStyle w:val="Compact"/>
              <w:jc w:val="left"/>
            </w:pPr>
            <w:r>
              <w:t xml:space="preserve">Professional</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02</w:t>
            </w:r>
          </w:p>
        </w:tc>
        <w:tc>
          <w:tcPr/>
          <w:p>
            <w:pPr>
              <w:pStyle w:val="Compact"/>
              <w:jc w:val="left"/>
            </w:pPr>
            <w:r>
              <w:t xml:space="preserve">Robotics Engineer – PLC/SCADA Programming &amp; Integration (Siemens, Allen-Bradley, FANUC platforms)</w:t>
            </w:r>
          </w:p>
        </w:tc>
        <w:tc>
          <w:tcPr/>
          <w:p>
            <w:pPr>
              <w:pStyle w:val="Compact"/>
              <w:jc w:val="left"/>
            </w:pPr>
            <w:r>
              <w:t xml:space="preserve">1</w:t>
            </w:r>
          </w:p>
        </w:tc>
        <w:tc>
          <w:tcPr/>
          <w:p>
            <w:pPr>
              <w:pStyle w:val="Compact"/>
              <w:jc w:val="left"/>
            </w:pPr>
            <w:r>
              <w:t xml:space="preserve">Professional</w:t>
            </w:r>
          </w:p>
        </w:tc>
        <w:tc>
          <w:tcPr/>
          <w:p>
            <w:pPr>
              <w:pStyle w:val="Compact"/>
              <w:jc w:val="left"/>
            </w:pPr>
            <w:r>
              <w:t xml:space="preserve">38,000.00</w:t>
            </w:r>
          </w:p>
        </w:tc>
        <w:tc>
          <w:tcPr/>
          <w:p>
            <w:pPr>
              <w:pStyle w:val="Compact"/>
              <w:jc w:val="left"/>
            </w:pPr>
            <w:r>
              <w:t xml:space="preserve">38,000.00</w:t>
            </w:r>
          </w:p>
        </w:tc>
      </w:tr>
      <w:tr>
        <w:tc>
          <w:tcPr/>
          <w:p>
            <w:pPr>
              <w:pStyle w:val="Compact"/>
              <w:jc w:val="left"/>
            </w:pPr>
            <w:r>
              <w:t xml:space="preserve">03</w:t>
            </w:r>
          </w:p>
        </w:tc>
        <w:tc>
          <w:tcPr/>
          <w:p>
            <w:pPr>
              <w:pStyle w:val="Compact"/>
              <w:jc w:val="left"/>
            </w:pPr>
            <w:r>
              <w:t xml:space="preserve">Robotics Engineer – Collaborative Robot Deployment &amp; Safety Compliance (ISO 10218, ISO/TS 15066)</w:t>
            </w:r>
          </w:p>
        </w:tc>
        <w:tc>
          <w:tcPr/>
          <w:p>
            <w:pPr>
              <w:pStyle w:val="Compact"/>
              <w:jc w:val="left"/>
            </w:pPr>
            <w:r>
              <w:t xml:space="preserve">1</w:t>
            </w:r>
          </w:p>
        </w:tc>
        <w:tc>
          <w:tcPr/>
          <w:p>
            <w:pPr>
              <w:pStyle w:val="Compact"/>
              <w:jc w:val="left"/>
            </w:pPr>
            <w:r>
              <w:t xml:space="preserve">Professional</w:t>
            </w:r>
          </w:p>
        </w:tc>
        <w:tc>
          <w:tcPr/>
          <w:p>
            <w:pPr>
              <w:pStyle w:val="Compact"/>
              <w:jc w:val="left"/>
            </w:pPr>
            <w:r>
              <w:t xml:space="preserve">42,000.00</w:t>
            </w:r>
          </w:p>
        </w:tc>
        <w:tc>
          <w:tcPr/>
          <w:p>
            <w:pPr>
              <w:pStyle w:val="Compact"/>
              <w:jc w:val="left"/>
            </w:pPr>
            <w:r>
              <w:t xml:space="preserve">42,000.00</w:t>
            </w:r>
          </w:p>
        </w:tc>
      </w:tr>
      <w:tr>
        <w:tc>
          <w:tcPr/>
          <w:p>
            <w:pPr>
              <w:pStyle w:val="Compact"/>
              <w:jc w:val="left"/>
            </w:pPr>
            <w:r>
              <w:t xml:space="preserve">04</w:t>
            </w:r>
          </w:p>
        </w:tc>
        <w:tc>
          <w:tcPr/>
          <w:p>
            <w:pPr>
              <w:pStyle w:val="Compact"/>
              <w:jc w:val="left"/>
            </w:pPr>
            <w:r>
              <w:t xml:space="preserve">Robotics Engineer – AGV/AMR Fleet Programming &amp; Warehouse Automation (United Arab Emirates Dubai logistics hub)</w:t>
            </w:r>
          </w:p>
        </w:tc>
        <w:tc>
          <w:tcPr/>
          <w:p>
            <w:pPr>
              <w:pStyle w:val="Compact"/>
              <w:jc w:val="left"/>
            </w:pPr>
            <w:r>
              <w:t xml:space="preserve">1</w:t>
            </w:r>
          </w:p>
        </w:tc>
        <w:tc>
          <w:tcPr/>
          <w:p>
            <w:pPr>
              <w:pStyle w:val="Compact"/>
              <w:jc w:val="left"/>
            </w:pPr>
            <w:r>
              <w:t xml:space="preserve">Professional</w:t>
            </w:r>
          </w:p>
        </w:tc>
        <w:tc>
          <w:tcPr/>
          <w:p>
            <w:pPr>
              <w:pStyle w:val="Compact"/>
              <w:jc w:val="left"/>
            </w:pPr>
            <w:r>
              <w:t xml:space="preserve">36,000.00</w:t>
            </w:r>
          </w:p>
        </w:tc>
        <w:tc>
          <w:tcPr/>
          <w:p>
            <w:pPr>
              <w:pStyle w:val="Compact"/>
              <w:jc w:val="left"/>
            </w:pPr>
            <w:r>
              <w:t xml:space="preserve">36,000.00</w:t>
            </w:r>
          </w:p>
        </w:tc>
      </w:tr>
      <w:tr>
        <w:tc>
          <w:tcPr/>
          <w:p>
            <w:pPr>
              <w:pStyle w:val="Compact"/>
              <w:jc w:val="left"/>
            </w:pPr>
            <w:r>
              <w:t xml:space="preserve">05</w:t>
            </w:r>
          </w:p>
        </w:tc>
        <w:tc>
          <w:tcPr/>
          <w:p>
            <w:pPr>
              <w:pStyle w:val="Compact"/>
              <w:jc w:val="left"/>
            </w:pPr>
            <w:r>
              <w:t xml:space="preserve">Robotics Engineer – Ongoing Maintenance, Troubleshooting &amp; Technical Support (12-month retainer)</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15,000.00</w:t>
            </w:r>
          </w:p>
        </w:tc>
        <w:tc>
          <w:tcPr/>
          <w:p>
            <w:pPr>
              <w:pStyle w:val="Compact"/>
              <w:jc w:val="left"/>
            </w:pPr>
            <w:r>
              <w:t xml:space="preserve">180,000.00</w:t>
            </w:r>
          </w:p>
        </w:tc>
      </w:tr>
      <w:tr>
        <w:tc>
          <w:tcPr/>
          <w:p>
            <w:pPr>
              <w:pStyle w:val="Compact"/>
              <w:jc w:val="left"/>
            </w:pPr>
            <w:r>
              <w:t xml:space="preserve">06</w:t>
            </w:r>
          </w:p>
        </w:tc>
        <w:tc>
          <w:tcPr/>
          <w:p>
            <w:pPr>
              <w:pStyle w:val="Compact"/>
              <w:jc w:val="left"/>
            </w:pPr>
            <w:r>
              <w:t xml:space="preserve">Robotics Engineer – Training &amp; Knowledge Transfer to In-House Dubai Technical Team</w:t>
            </w:r>
          </w:p>
        </w:tc>
        <w:tc>
          <w:tcPr/>
          <w:p>
            <w:pPr>
              <w:pStyle w:val="Compact"/>
              <w:jc w:val="left"/>
            </w:pPr>
            <w:r>
              <w:t xml:space="preserve">4</w:t>
            </w:r>
          </w:p>
        </w:tc>
        <w:tc>
          <w:tcPr/>
          <w:p>
            <w:pPr>
              <w:pStyle w:val="Compact"/>
              <w:jc w:val="left"/>
            </w:pPr>
            <w:r>
              <w:t xml:space="preserve">Sessions</w:t>
            </w:r>
          </w:p>
        </w:tc>
        <w:tc>
          <w:tcPr/>
          <w:p>
            <w:pPr>
              <w:pStyle w:val="Compact"/>
              <w:jc w:val="left"/>
            </w:pPr>
            <w:r>
              <w:t xml:space="preserve">8,500.00</w:t>
            </w:r>
          </w:p>
        </w:tc>
        <w:tc>
          <w:tcPr/>
          <w:p>
            <w:pPr>
              <w:pStyle w:val="Compact"/>
              <w:jc w:val="left"/>
            </w:pPr>
            <w:r>
              <w:t xml:space="preserve">34,000.00</w:t>
            </w:r>
          </w:p>
        </w:tc>
      </w:tr>
      <w:tr>
        <w:tc>
          <w:tcPr>
            <w:gridSpan w:val="5"/>
          </w:tcPr>
          <w:p>
            <w:pPr>
              <w:pStyle w:val="Compact"/>
              <w:jc w:val="right"/>
            </w:pPr>
            <w:r>
              <w:t xml:space="preserve">Subtotal (AED)</w:t>
            </w:r>
          </w:p>
        </w:tc>
        <w:tc>
          <w:tcPr/>
          <w:p>
            <w:pPr>
              <w:pStyle w:val="Compact"/>
              <w:jc w:val="left"/>
            </w:pPr>
            <w:r>
              <w:t xml:space="preserve">375,000.00</w:t>
            </w:r>
          </w:p>
        </w:tc>
      </w:tr>
      <w:tr>
        <w:tc>
          <w:tcPr>
            <w:gridSpan w:val="5"/>
          </w:tcPr>
          <w:p>
            <w:pPr>
              <w:pStyle w:val="Compact"/>
              <w:jc w:val="right"/>
            </w:pPr>
            <w:r>
              <w:t xml:space="preserve">VAT @ 5% (United Arab Emirates Dubai)</w:t>
            </w:r>
          </w:p>
        </w:tc>
        <w:tc>
          <w:tcPr/>
          <w:p>
            <w:pPr>
              <w:pStyle w:val="Compact"/>
              <w:jc w:val="left"/>
            </w:pPr>
            <w:r>
              <w:t xml:space="preserve">18,750.00</w:t>
            </w:r>
          </w:p>
        </w:tc>
      </w:tr>
      <w:tr>
        <w:tc>
          <w:tcPr>
            <w:gridSpan w:val="5"/>
          </w:tcPr>
          <w:p>
            <w:pPr>
              <w:pStyle w:val="Compact"/>
              <w:jc w:val="right"/>
            </w:pPr>
            <w:r>
              <w:t xml:space="preserve">TOTAL AMOUNT DUE (AED)</w:t>
            </w:r>
          </w:p>
        </w:tc>
        <w:tc>
          <w:tcPr/>
          <w:p>
            <w:pPr>
              <w:pStyle w:val="Compact"/>
              <w:jc w:val="left"/>
            </w:pPr>
            <w:r>
              <w:t xml:space="preserve">393,750.00</w:t>
            </w:r>
          </w:p>
        </w:tc>
      </w:tr>
    </w:tbl>
    <w:p>
      <w:pPr>
        <w:pStyle w:val="BodyText"/>
      </w:pPr>
      <w:r>
        <w:t xml:space="preserve">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the Purchasing Entity and the Service Provider upon signature by both authorized representatives. All terms herein shall be governed by the laws of the</w:t>
      </w:r>
      <w:r>
        <w:t xml:space="preserve"> </w:t>
      </w:r>
      <w:r>
        <w:t xml:space="preserve">United Arab Emirates Dubai</w:t>
      </w:r>
      <w:r>
        <w:t xml:space="preserve"> </w:t>
      </w:r>
      <w:r>
        <w:t xml:space="preserve">and the applicable federal legislation of the United Arab Emirates.</w:t>
      </w:r>
    </w:p>
    <w:p>
      <w:pPr>
        <w:numPr>
          <w:ilvl w:val="0"/>
          <w:numId w:val="1001"/>
        </w:numPr>
        <w:pStyle w:val="Compact"/>
      </w:pPr>
      <w:r>
        <w:t xml:space="preserve">The</w:t>
      </w:r>
      <w:r>
        <w:t xml:space="preserve"> </w:t>
      </w:r>
      <w:r>
        <w:t xml:space="preserve">Robotics Engineer</w:t>
      </w:r>
      <w:r>
        <w:t xml:space="preserve"> </w:t>
      </w:r>
      <w:r>
        <w:t xml:space="preserve">or team of</w:t>
      </w:r>
      <w:r>
        <w:t xml:space="preserve"> </w:t>
      </w:r>
      <w:r>
        <w:t xml:space="preserve">Robotics Engineer</w:t>
      </w:r>
      <w:r>
        <w:t xml:space="preserve"> </w:t>
      </w:r>
      <w:r>
        <w:t xml:space="preserve">professionals assigned under this</w:t>
      </w:r>
      <w:r>
        <w:t xml:space="preserve"> </w:t>
      </w:r>
      <w:r>
        <w:t xml:space="preserve">Purchase Order</w:t>
      </w:r>
      <w:r>
        <w:t xml:space="preserve"> </w:t>
      </w:r>
      <w:r>
        <w:t xml:space="preserve">must hold a minimum of a Bachelor's degree in Robotics, Mechatronics, or Electrical Engineering, with a minimum of eight (8) years of documented experience in industrial robotics deployment. A valid UAE work permit and Emirates ID shall be mandatory prior to commencing on-site work in</w:t>
      </w:r>
      <w:r>
        <w:t xml:space="preserve"> </w:t>
      </w:r>
      <w:r>
        <w:t xml:space="preserve">United Arab Emirates Dubai</w:t>
      </w:r>
      <w:r>
        <w:t xml:space="preserve">.</w:t>
      </w:r>
    </w:p>
    <w:p>
      <w:pPr>
        <w:numPr>
          <w:ilvl w:val="0"/>
          <w:numId w:val="1001"/>
        </w:numPr>
        <w:pStyle w:val="Compact"/>
      </w:pPr>
      <w:r>
        <w:t xml:space="preserve">All deliverables, including but not limited to system design documentation, PLC ladder logic, HMI/SCADA configurations, safety assessments, and commissioning reports, shall be submitted in both English and Arabic to satisfy the regulatory documentation requirements of the Dubai Municipality and the Department of Economic Development.</w:t>
      </w:r>
    </w:p>
    <w:p>
      <w:pPr>
        <w:numPr>
          <w:ilvl w:val="0"/>
          <w:numId w:val="1001"/>
        </w:numPr>
        <w:pStyle w:val="Compact"/>
      </w:pPr>
      <w:r>
        <w:t xml:space="preserve">The Service Provider shall ensure that all robotic systems installed and programmed by the</w:t>
      </w:r>
      <w:r>
        <w:t xml:space="preserve"> </w:t>
      </w:r>
      <w:r>
        <w:t xml:space="preserve">Robotics Engineer</w:t>
      </w:r>
      <w:r>
        <w:t xml:space="preserve"> </w:t>
      </w:r>
      <w:r>
        <w:t xml:space="preserve">comply with the International Electrotechnical Commission (IEC) standards, the European Machinery Directive (where applicable), and the specific safety regulations enforced in</w:t>
      </w:r>
      <w:r>
        <w:t xml:space="preserve"> </w:t>
      </w:r>
      <w:r>
        <w:t xml:space="preserve">United Arab Emirates Dubai</w:t>
      </w:r>
      <w:r>
        <w:t xml:space="preserve">.</w:t>
      </w:r>
    </w:p>
    <w:p>
      <w:pPr>
        <w:numPr>
          <w:ilvl w:val="0"/>
          <w:numId w:val="1001"/>
        </w:numPr>
        <w:pStyle w:val="Compact"/>
      </w:pPr>
      <w:r>
        <w:t xml:space="preserve">Payment shall be processed via bank transfer to the Service Provider's designated corporate account in the United Arab Emirates Dubai. Invoices must reference this</w:t>
      </w:r>
      <w:r>
        <w:t xml:space="preserve"> </w:t>
      </w:r>
      <w:r>
        <w:t xml:space="preserve">Purchase Order</w:t>
      </w:r>
      <w:r>
        <w:t xml:space="preserve"> </w:t>
      </w:r>
      <w:r>
        <w:t xml:space="preserve">number (PO-2025-DXB-RE-0047) and include the applicable 5% Value Added Tax (VAT) as mandated by the Federal Tax Authority of the UAE.</w:t>
      </w:r>
    </w:p>
    <w:p>
      <w:pPr>
        <w:numPr>
          <w:ilvl w:val="0"/>
          <w:numId w:val="1001"/>
        </w:numPr>
        <w:pStyle w:val="Compact"/>
      </w:pPr>
      <w:r>
        <w:t xml:space="preserve">The</w:t>
      </w:r>
      <w:r>
        <w:t xml:space="preserve"> </w:t>
      </w:r>
      <w:r>
        <w:t xml:space="preserve">Robotics Engineer</w:t>
      </w:r>
      <w:r>
        <w:t xml:space="preserve"> </w:t>
      </w:r>
      <w:r>
        <w:t xml:space="preserve">shall be subject to the Purchasing Entity's site safety protocols, access control procedures, and confidentiality agreements. All proprietary data, process parameters, and intellectual property generated during the engagement shall remain the exclusive property of Gulf Advanced Automation Solutions LLC.</w:t>
      </w:r>
    </w:p>
    <w:p>
      <w:pPr>
        <w:numPr>
          <w:ilvl w:val="0"/>
          <w:numId w:val="1001"/>
        </w:numPr>
        <w:pStyle w:val="Compact"/>
      </w:pPr>
      <w:r>
        <w:t xml:space="preserve">Any changes to the scope of work, additional</w:t>
      </w:r>
      <w:r>
        <w:t xml:space="preserve"> </w:t>
      </w:r>
      <w:r>
        <w:t xml:space="preserve">Robotics Engineer</w:t>
      </w:r>
      <w:r>
        <w:t xml:space="preserve"> </w:t>
      </w:r>
      <w:r>
        <w:t xml:space="preserve">personnel, or extended timelines must be documented through a formal Change Order amendment to this</w:t>
      </w:r>
      <w:r>
        <w:t xml:space="preserve"> </w:t>
      </w:r>
      <w:r>
        <w:t xml:space="preserve">Purchase Order</w:t>
      </w:r>
      <w:r>
        <w:t xml:space="preserve">, signed by both parties before execution.</w:t>
      </w:r>
    </w:p>
    <w:p>
      <w:pPr>
        <w:numPr>
          <w:ilvl w:val="0"/>
          <w:numId w:val="1001"/>
        </w:numPr>
        <w:pStyle w:val="Compact"/>
      </w:pPr>
      <w:r>
        <w:t xml:space="preserve">Disputes arising from this</w:t>
      </w:r>
      <w:r>
        <w:t xml:space="preserve"> </w:t>
      </w:r>
      <w:r>
        <w:t xml:space="preserve">Purchase Order</w:t>
      </w:r>
      <w:r>
        <w:t xml:space="preserve"> </w:t>
      </w:r>
      <w:r>
        <w:t xml:space="preserve">shall be resolved through arbitration in accordance with the rules of the Dubai International Arbitration Centre (DIAC), seated in</w:t>
      </w:r>
      <w:r>
        <w:t xml:space="preserve"> </w:t>
      </w:r>
      <w:r>
        <w:t xml:space="preserve">United Arab Emirates Dubai</w:t>
      </w:r>
      <w:r>
        <w:t xml:space="preserve">.</w:t>
      </w:r>
    </w:p>
    <w:p>
      <w:pPr>
        <w:numPr>
          <w:ilvl w:val="0"/>
          <w:numId w:val="1001"/>
        </w:numPr>
        <w:pStyle w:val="Compact"/>
      </w:pPr>
      <w:r>
        <w:t xml:space="preserve">This</w:t>
      </w:r>
      <w:r>
        <w:t xml:space="preserve"> </w:t>
      </w:r>
      <w:r>
        <w:t xml:space="preserve">Purchase Order</w:t>
      </w:r>
      <w:r>
        <w:t xml:space="preserve"> </w:t>
      </w:r>
      <w:r>
        <w:t xml:space="preserve">is valid for acceptance within fourteen (14) calendar days from the date of issue. Failure to accept within this period shall render this</w:t>
      </w:r>
      <w:r>
        <w:t xml:space="preserve"> </w:t>
      </w:r>
      <w:r>
        <w:t xml:space="preserve">Purchase Order</w:t>
      </w:r>
      <w:r>
        <w:t xml:space="preserve"> </w:t>
      </w:r>
      <w:r>
        <w:t xml:space="preserve">null and void.</w:t>
      </w:r>
    </w:p>
    <w:p>
      <w:pPr>
        <w:pStyle w:val="FirstParagraph"/>
      </w:pPr>
      <w:r>
        <w:rPr>
          <w:bCs/>
          <w:b/>
        </w:rPr>
        <w:t xml:space="preserve">For and on behalf of the Purchasing Entity:</w:t>
      </w:r>
    </w:p>
    <w:p>
      <w:pPr>
        <w:pStyle w:val="BodyText"/>
      </w:pPr>
      <w:r>
        <w:t xml:space="preserve">Gulf Advanced Automation Solutions LLC</w:t>
      </w:r>
    </w:p>
    <w:p>
      <w:pPr>
        <w:pStyle w:val="BodyText"/>
      </w:pPr>
      <w:r>
        <w:t xml:space="preserve">Name: Dr. Khalid Al Mansoori</w:t>
      </w:r>
    </w:p>
    <w:p>
      <w:pPr>
        <w:pStyle w:val="BodyText"/>
      </w:pPr>
      <w:r>
        <w:t xml:space="preserve">Title: Chief Technology Officer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and on behalf of the Service Provider:</w:t>
      </w:r>
    </w:p>
    <w:p>
      <w:pPr>
        <w:pStyle w:val="BodyText"/>
      </w:pPr>
      <w:r>
        <w:t xml:space="preserve">Nexus Robotics &amp; Engineering Consultants FZ-LLC</w:t>
      </w:r>
    </w:p>
    <w:p>
      <w:pPr>
        <w:pStyle w:val="BodyText"/>
      </w:pPr>
      <w:r>
        <w:t xml:space="preserve">Name: ___________________________</w:t>
      </w:r>
    </w:p>
    <w:p>
      <w:pPr>
        <w:pStyle w:val="BodyText"/>
      </w:pPr>
      <w:r>
        <w:t xml:space="preserve">Title: Managing Director</w:t>
      </w:r>
    </w:p>
    <w:p>
      <w:pPr>
        <w:pStyle w:val="BodyText"/>
      </w:pPr>
      <w:r>
        <w:t xml:space="preserve">Signature: ___________________________</w:t>
      </w:r>
    </w:p>
    <w:p>
      <w:pPr>
        <w:pStyle w:val="BodyText"/>
      </w:pPr>
      <w:r>
        <w:t xml:space="preserve">Date: ___________________________</w:t>
      </w:r>
    </w:p>
    <w:p>
      <w:pPr>
        <w:pStyle w:val="BodyText"/>
      </w:pPr>
      <w:r>
        <w:t xml:space="preserve">This Purchase Order document was generated for use in United Arab Emirates Dubai. All references to Robotics Engineer services are subject to the terms outlined herein. Document ID: PO-2025-DXB-RE-0047 | Version 1.0 | Confidential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Robotics Engineer Services - United Arab Emirates Dubai</dc:title>
  <dc:creator/>
  <dc:language>en</dc:language>
  <cp:keywords/>
  <dcterms:created xsi:type="dcterms:W3CDTF">2026-10-10T02:35:51Z</dcterms:created>
  <dcterms:modified xsi:type="dcterms:W3CDTF">2026-10-10T02:35:51Z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