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Egypt</w:t>
      </w:r>
      <w:r>
        <w:t xml:space="preserve"> </w:t>
      </w:r>
      <w:r>
        <w:t xml:space="preserve">Alexandria</w:t>
      </w:r>
    </w:p>
    <w:bookmarkStart w:id="20" w:name="purchase-order"/>
    <w:p>
      <w:pPr>
        <w:pStyle w:val="Heading1"/>
      </w:pPr>
      <w:r>
        <w:t xml:space="preserve">PURCHASE ORDER</w:t>
      </w:r>
    </w:p>
    <w:p>
      <w:pPr>
        <w:pStyle w:val="FirstParagraph"/>
      </w:pPr>
      <w:r>
        <w:t xml:space="preserve">Procurement of Sales Executive Services – Egypt Alexandria Region</w:t>
      </w:r>
    </w:p>
    <w:p>
      <w:pPr>
        <w:pStyle w:val="BodyText"/>
      </w:pPr>
      <w:r>
        <w:t xml:space="preserve">Mediterranean Commercial Group – Alexandria Branch</w:t>
      </w:r>
    </w:p>
    <w:bookmarkEnd w:id="20"/>
    <w:p>
      <w:pPr>
        <w:pStyle w:val="BodyText"/>
      </w:pPr>
      <w:r>
        <w:t xml:space="preserve">PO No.: EGY-ALX-2025-04782</w:t>
      </w:r>
      <w:r>
        <w:br/>
      </w:r>
      <w:r>
        <w:t xml:space="preserve">Date of Issue: 15 June 2025</w:t>
      </w:r>
      <w:r>
        <w:br/>
      </w:r>
      <w:r>
        <w:t xml:space="preserve">Valid Until: 15 July 2025</w:t>
      </w:r>
    </w:p>
    <w:bookmarkStart w:id="21" w:name="parties-involved"/>
    <w:p>
      <w:pPr>
        <w:pStyle w:val="Heading2"/>
      </w:pPr>
      <w:r>
        <w:t xml:space="preserve">1. Parties Involved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Field</w:t>
            </w:r>
          </w:p>
        </w:tc>
        <w:tc>
          <w:tcPr/>
          <w:p>
            <w:pPr>
              <w:pStyle w:val="Compact"/>
              <w:jc w:val="left"/>
            </w:pPr>
            <w:r>
              <w:t xml:space="preserve">Buyer (Requisitioning Department)</w:t>
            </w:r>
          </w:p>
        </w:tc>
        <w:tc>
          <w:tcPr/>
          <w:p>
            <w:pPr>
              <w:pStyle w:val="Compact"/>
              <w:jc w:val="left"/>
            </w:pPr>
            <w:r>
              <w:t xml:space="preserve">Seller (Service Provider)</w:t>
            </w:r>
          </w:p>
        </w:tc>
      </w:tr>
      <w:tr>
        <w:tc>
          <w:tcPr/>
          <w:p>
            <w:pPr>
              <w:pStyle w:val="Compact"/>
              <w:jc w:val="left"/>
            </w:pPr>
            <w:r>
              <w:rPr>
                <w:bCs/>
                <w:b/>
              </w:rPr>
              <w:t xml:space="preserve">Company Name</w:t>
            </w:r>
          </w:p>
        </w:tc>
        <w:tc>
          <w:tcPr/>
          <w:p>
            <w:pPr>
              <w:pStyle w:val="Compact"/>
              <w:jc w:val="left"/>
            </w:pPr>
            <w:r>
              <w:t xml:space="preserve">Mediterranean Commercial Group S.A.E.</w:t>
            </w:r>
          </w:p>
        </w:tc>
        <w:tc>
          <w:tcPr/>
          <w:p>
            <w:pPr>
              <w:pStyle w:val="Compact"/>
              <w:jc w:val="left"/>
            </w:pPr>
            <w:r>
              <w:t xml:space="preserve">Alexandria Talent Solutions &amp; Recruitment Ltd.</w:t>
            </w:r>
          </w:p>
        </w:tc>
      </w:tr>
      <w:tr>
        <w:tc>
          <w:tcPr/>
          <w:p>
            <w:pPr>
              <w:pStyle w:val="Compact"/>
              <w:jc w:val="left"/>
            </w:pPr>
            <w:r>
              <w:rPr>
                <w:bCs/>
                <w:b/>
              </w:rPr>
              <w:t xml:space="preserve">Address</w:t>
            </w:r>
          </w:p>
        </w:tc>
        <w:tc>
          <w:tcPr/>
          <w:p>
            <w:pPr>
              <w:pStyle w:val="Compact"/>
              <w:jc w:val="left"/>
            </w:pPr>
            <w:r>
              <w:t xml:space="preserve">142 Corniche El-Nil Street, Smouha District, Egypt Alexandria, 21543</w:t>
            </w:r>
          </w:p>
        </w:tc>
        <w:tc>
          <w:tcPr/>
          <w:p>
            <w:pPr>
              <w:pStyle w:val="Compact"/>
              <w:jc w:val="left"/>
            </w:pPr>
            <w:r>
              <w:t xml:space="preserve">88 El-Montazah Road, El-Montazah District, Egypt Alexandria, 21521</w:t>
            </w:r>
          </w:p>
        </w:tc>
      </w:tr>
      <w:tr>
        <w:tc>
          <w:tcPr/>
          <w:p>
            <w:pPr>
              <w:pStyle w:val="Compact"/>
              <w:jc w:val="left"/>
            </w:pPr>
            <w:r>
              <w:rPr>
                <w:bCs/>
                <w:b/>
              </w:rPr>
              <w:t xml:space="preserve">Contact Person</w:t>
            </w:r>
          </w:p>
        </w:tc>
        <w:tc>
          <w:tcPr/>
          <w:p>
            <w:pPr>
              <w:pStyle w:val="Compact"/>
              <w:jc w:val="left"/>
            </w:pPr>
            <w:r>
              <w:t xml:space="preserve">Mr. Tarek El-Sayed, Head of Human Resources</w:t>
            </w:r>
          </w:p>
        </w:tc>
        <w:tc>
          <w:tcPr/>
          <w:p>
            <w:pPr>
              <w:pStyle w:val="Compact"/>
              <w:jc w:val="left"/>
            </w:pPr>
            <w:r>
              <w:t xml:space="preserve">Ms. Nourhan Abdel-Fattah, Account Director</w:t>
            </w:r>
          </w:p>
        </w:tc>
      </w:tr>
      <w:tr>
        <w:tc>
          <w:tcPr/>
          <w:p>
            <w:pPr>
              <w:pStyle w:val="Compact"/>
              <w:jc w:val="left"/>
            </w:pPr>
            <w:r>
              <w:rPr>
                <w:bCs/>
                <w:b/>
              </w:rPr>
              <w:t xml:space="preserve">Phone / Email</w:t>
            </w:r>
          </w:p>
        </w:tc>
        <w:tc>
          <w:tcPr/>
          <w:p>
            <w:pPr>
              <w:pStyle w:val="Compact"/>
              <w:jc w:val="left"/>
            </w:pPr>
            <w:r>
              <w:t xml:space="preserve">+20 3 482 5510 / hr@medcommgroup.com.eg</w:t>
            </w:r>
          </w:p>
        </w:tc>
        <w:tc>
          <w:tcPr/>
          <w:p>
            <w:pPr>
              <w:pStyle w:val="Compact"/>
              <w:jc w:val="left"/>
            </w:pPr>
            <w:r>
              <w:t xml:space="preserve">+20 3 577 2200 / n.abdelfattah@alexrecruitment.com.eg</w:t>
            </w:r>
          </w:p>
        </w:tc>
      </w:tr>
      <w:tr>
        <w:tc>
          <w:tcPr/>
          <w:p>
            <w:pPr>
              <w:pStyle w:val="Compact"/>
              <w:jc w:val="left"/>
            </w:pPr>
            <w:r>
              <w:rPr>
                <w:bCs/>
                <w:b/>
              </w:rPr>
              <w:t xml:space="preserve">Tax ID (VAT No.)</w:t>
            </w:r>
          </w:p>
        </w:tc>
        <w:tc>
          <w:tcPr/>
          <w:p>
            <w:pPr>
              <w:pStyle w:val="Compact"/>
              <w:jc w:val="left"/>
            </w:pPr>
            <w:r>
              <w:t xml:space="preserve">EG-552-881-447-003</w:t>
            </w:r>
          </w:p>
        </w:tc>
        <w:tc>
          <w:tcPr/>
          <w:p>
            <w:pPr>
              <w:pStyle w:val="Compact"/>
              <w:jc w:val="left"/>
            </w:pPr>
            <w:r>
              <w:t xml:space="preserve">EG-331-662-990-017</w:t>
            </w:r>
          </w:p>
        </w:tc>
      </w:tr>
    </w:tbl>
    <w:bookmarkEnd w:id="21"/>
    <w:bookmarkStart w:id="22" w:name="description-of-procurement"/>
    <w:p>
      <w:pPr>
        <w:pStyle w:val="Heading2"/>
      </w:pPr>
      <w:r>
        <w:t xml:space="preserve">2. Description of Procurement</w:t>
      </w:r>
    </w:p>
    <w:p>
      <w:pPr>
        <w:pStyle w:val="FirstParagraph"/>
      </w:pPr>
      <w:r>
        <w:t xml:space="preserve">This</w:t>
      </w:r>
      <w:r>
        <w:t xml:space="preserve"> </w:t>
      </w:r>
      <w:r>
        <w:t xml:space="preserve">Purchase Order</w:t>
      </w:r>
      <w:r>
        <w:t xml:space="preserve"> </w:t>
      </w:r>
      <w:r>
        <w:t xml:space="preserve">is issued by Mediterranean Commercial Group S.A.E., headquartered in</w:t>
      </w:r>
      <w:r>
        <w:t xml:space="preserve"> </w:t>
      </w:r>
      <w:r>
        <w:t xml:space="preserve">Egypt Alexandria</w:t>
      </w:r>
      <w:r>
        <w:t xml:space="preserve">, for the purpose of procuring the services of a qualified</w:t>
      </w:r>
      <w:r>
        <w:t xml:space="preserve"> </w:t>
      </w:r>
      <w:r>
        <w:t xml:space="preserve">Sales Executive</w:t>
      </w:r>
      <w:r>
        <w:t xml:space="preserve"> </w:t>
      </w:r>
      <w:r>
        <w:t xml:space="preserve">to be placed within the company's Alexandria regional sales division. The</w:t>
      </w:r>
      <w:r>
        <w:t xml:space="preserve"> </w:t>
      </w:r>
      <w:r>
        <w:t xml:space="preserve">Sales Executive</w:t>
      </w:r>
      <w:r>
        <w:t xml:space="preserve"> </w:t>
      </w:r>
      <w:r>
        <w:t xml:space="preserve">shall be responsible for identifying new business opportunities, managing existing client portfolios, negotiating contracts, and achieving quarterly revenue targets across the northern governorates of Egypt, with primary operational focus in the</w:t>
      </w:r>
      <w:r>
        <w:t xml:space="preserve"> </w:t>
      </w:r>
      <w:r>
        <w:t xml:space="preserve">Egypt Alexandria</w:t>
      </w:r>
      <w:r>
        <w:t xml:space="preserve"> </w:t>
      </w:r>
      <w:r>
        <w:t xml:space="preserve">metropolitan area and surrounding districts including Smouha, El-Montazah, and El-Dekheila.</w:t>
      </w:r>
    </w:p>
    <w:p>
      <w:pPr>
        <w:pStyle w:val="BodyText"/>
      </w:pPr>
      <w:r>
        <w:t xml:space="preserve">The</w:t>
      </w:r>
      <w:r>
        <w:t xml:space="preserve"> </w:t>
      </w:r>
      <w:r>
        <w:t xml:space="preserve">Purchase Order</w:t>
      </w:r>
      <w:r>
        <w:t xml:space="preserve"> </w:t>
      </w:r>
      <w:r>
        <w:t xml:space="preserve">covers the full recruitment, onboarding, and initial probationary period (three months) of the</w:t>
      </w:r>
      <w:r>
        <w:t xml:space="preserve"> </w:t>
      </w:r>
      <w:r>
        <w:t xml:space="preserve">Sales Executive</w:t>
      </w:r>
      <w:r>
        <w:t xml:space="preserve">. All services rendered under this</w:t>
      </w:r>
      <w:r>
        <w:t xml:space="preserve"> </w:t>
      </w:r>
      <w:r>
        <w:t xml:space="preserve">Purchase Order</w:t>
      </w:r>
      <w:r>
        <w:t xml:space="preserve"> </w:t>
      </w:r>
      <w:r>
        <w:t xml:space="preserve">shall comply with the Egyptian Labor Law No. 12 of 2003 and all applicable regulations governing employment in</w:t>
      </w:r>
      <w:r>
        <w:t xml:space="preserve"> </w:t>
      </w:r>
      <w:r>
        <w:t xml:space="preserve">Egypt Alexandria</w:t>
      </w:r>
      <w:r>
        <w:t xml:space="preserve">.</w:t>
      </w:r>
    </w:p>
    <w:bookmarkEnd w:id="22"/>
    <w:bookmarkStart w:id="23" w:name="itemized-breakdown"/>
    <w:p>
      <w:pPr>
        <w:pStyle w:val="Heading2"/>
      </w:pPr>
      <w:r>
        <w:t xml:space="preserve">3. Itemized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Recruitment and screening services for Sales Executive position (Egypt Alexandria market)</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Background verification, reference checks, and credential validation for the Sales Executive candidate</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03</w:t>
            </w:r>
          </w:p>
        </w:tc>
        <w:tc>
          <w:tcPr/>
          <w:p>
            <w:pPr>
              <w:pStyle w:val="Compact"/>
              <w:jc w:val="left"/>
            </w:pPr>
            <w:r>
              <w:t xml:space="preserve">Onboarding and integration support – Sales Executive (first 30 days in Egypt Alexandria office)</w:t>
            </w:r>
          </w:p>
        </w:tc>
        <w:tc>
          <w:tcPr/>
          <w:p>
            <w:pPr>
              <w:pStyle w:val="Compact"/>
              <w:jc w:val="left"/>
            </w:pPr>
            <w:r>
              <w:t xml:space="preserve">1</w:t>
            </w:r>
          </w:p>
        </w:tc>
        <w:tc>
          <w:tcPr/>
          <w:p>
            <w:pPr>
              <w:pStyle w:val="Compact"/>
              <w:jc w:val="left"/>
            </w:pPr>
            <w:r>
              <w:t xml:space="preserve">7,800.00</w:t>
            </w:r>
          </w:p>
        </w:tc>
        <w:tc>
          <w:tcPr/>
          <w:p>
            <w:pPr>
              <w:pStyle w:val="Compact"/>
              <w:jc w:val="left"/>
            </w:pPr>
            <w:r>
              <w:t xml:space="preserve">7,800.00</w:t>
            </w:r>
          </w:p>
        </w:tc>
      </w:tr>
      <w:tr>
        <w:tc>
          <w:tcPr/>
          <w:p>
            <w:pPr>
              <w:pStyle w:val="Compact"/>
              <w:jc w:val="left"/>
            </w:pPr>
            <w:r>
              <w:t xml:space="preserve">04</w:t>
            </w:r>
          </w:p>
        </w:tc>
        <w:tc>
          <w:tcPr/>
          <w:p>
            <w:pPr>
              <w:pStyle w:val="Compact"/>
              <w:jc w:val="left"/>
            </w:pPr>
            <w:r>
              <w:t xml:space="preserve">Probationary period management and performance monitoring – Sales Executive (months 1–3)</w:t>
            </w:r>
          </w:p>
        </w:tc>
        <w:tc>
          <w:tcPr/>
          <w:p>
            <w:pPr>
              <w:pStyle w:val="Compact"/>
              <w:jc w:val="left"/>
            </w:pPr>
            <w:r>
              <w:t xml:space="preserve">3</w:t>
            </w:r>
          </w:p>
        </w:tc>
        <w:tc>
          <w:tcPr/>
          <w:p>
            <w:pPr>
              <w:pStyle w:val="Compact"/>
              <w:jc w:val="left"/>
            </w:pPr>
            <w:r>
              <w:t xml:space="preserve">5,500.00</w:t>
            </w:r>
          </w:p>
        </w:tc>
        <w:tc>
          <w:tcPr/>
          <w:p>
            <w:pPr>
              <w:pStyle w:val="Compact"/>
              <w:jc w:val="left"/>
            </w:pPr>
            <w:r>
              <w:t xml:space="preserve">16,500.00</w:t>
            </w:r>
          </w:p>
        </w:tc>
      </w:tr>
      <w:tr>
        <w:tc>
          <w:tcPr/>
          <w:p>
            <w:pPr>
              <w:pStyle w:val="Compact"/>
              <w:jc w:val="left"/>
            </w:pPr>
            <w:r>
              <w:t xml:space="preserve">05</w:t>
            </w:r>
          </w:p>
        </w:tc>
        <w:tc>
          <w:tcPr/>
          <w:p>
            <w:pPr>
              <w:pStyle w:val="Compact"/>
              <w:jc w:val="left"/>
            </w:pPr>
            <w:r>
              <w:t xml:space="preserve">Compliance and legal documentation – employment contract registration with Egypt Alexandria Labor Office</w:t>
            </w:r>
          </w:p>
        </w:tc>
        <w:tc>
          <w:tcPr/>
          <w:p>
            <w:pPr>
              <w:pStyle w:val="Compact"/>
              <w:jc w:val="left"/>
            </w:pPr>
            <w:r>
              <w:t xml:space="preserve">1</w:t>
            </w:r>
          </w:p>
        </w:tc>
        <w:tc>
          <w:tcPr/>
          <w:p>
            <w:pPr>
              <w:pStyle w:val="Compact"/>
              <w:jc w:val="left"/>
            </w:pPr>
            <w:r>
              <w:t xml:space="preserve">3,000.00</w:t>
            </w:r>
          </w:p>
        </w:tc>
        <w:tc>
          <w:tcPr/>
          <w:p>
            <w:pPr>
              <w:pStyle w:val="Compact"/>
              <w:jc w:val="left"/>
            </w:pPr>
            <w:r>
              <w:t xml:space="preserve">3,000.00</w:t>
            </w:r>
          </w:p>
        </w:tc>
      </w:tr>
      <w:tr>
        <w:tc>
          <w:tcPr/>
          <w:p>
            <w:pPr>
              <w:pStyle w:val="Compact"/>
              <w:jc w:val="left"/>
            </w:pPr>
            <w:r>
              <w:t xml:space="preserve">06</w:t>
            </w:r>
          </w:p>
        </w:tc>
        <w:tc>
          <w:tcPr/>
          <w:p>
            <w:pPr>
              <w:pStyle w:val="Compact"/>
              <w:jc w:val="left"/>
            </w:pPr>
            <w:r>
              <w:t xml:space="preserve">Post-placement guarantee and replacement assurance (12-month coverage for Sales Executive role)</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gridSpan w:val="4"/>
          </w:tcPr>
          <w:p>
            <w:pPr>
              <w:pStyle w:val="Compact"/>
              <w:jc w:val="right"/>
            </w:pPr>
            <w:r>
              <w:t xml:space="preserve">Subtotal</w:t>
            </w:r>
          </w:p>
        </w:tc>
        <w:tc>
          <w:tcPr/>
          <w:p>
            <w:pPr>
              <w:pStyle w:val="Compact"/>
              <w:jc w:val="left"/>
            </w:pPr>
            <w:r>
              <w:t xml:space="preserve">62,000.00</w:t>
            </w:r>
          </w:p>
        </w:tc>
      </w:tr>
      <w:tr>
        <w:tc>
          <w:tcPr>
            <w:gridSpan w:val="4"/>
          </w:tcPr>
          <w:p>
            <w:pPr>
              <w:pStyle w:val="Compact"/>
              <w:jc w:val="right"/>
            </w:pPr>
            <w:r>
              <w:t xml:space="preserve">VAT (14%)</w:t>
            </w:r>
          </w:p>
        </w:tc>
        <w:tc>
          <w:tcPr/>
          <w:p>
            <w:pPr>
              <w:pStyle w:val="Compact"/>
              <w:jc w:val="left"/>
            </w:pPr>
            <w:r>
              <w:t xml:space="preserve">8,680.00</w:t>
            </w:r>
          </w:p>
        </w:tc>
      </w:tr>
      <w:tr>
        <w:tc>
          <w:tcPr>
            <w:gridSpan w:val="4"/>
          </w:tcPr>
          <w:p>
            <w:pPr>
              <w:pStyle w:val="Compact"/>
              <w:jc w:val="right"/>
            </w:pPr>
            <w:r>
              <w:t xml:space="preserve">GRAND TOTAL (EGP)</w:t>
            </w:r>
          </w:p>
        </w:tc>
        <w:tc>
          <w:tcPr/>
          <w:p>
            <w:pPr>
              <w:pStyle w:val="Compact"/>
              <w:jc w:val="left"/>
            </w:pPr>
            <w:r>
              <w:t xml:space="preserve">70,680.00</w:t>
            </w:r>
          </w:p>
        </w:tc>
      </w:tr>
    </w:tbl>
    <w:bookmarkEnd w:id="23"/>
    <w:bookmarkStart w:id="24" w:name="terms-and-conditions"/>
    <w:p>
      <w:pPr>
        <w:pStyle w:val="Heading2"/>
      </w:pPr>
      <w:r>
        <w:t xml:space="preserve">4. Terms and Conditions</w:t>
      </w:r>
    </w:p>
    <w:p>
      <w:pPr>
        <w:pStyle w:val="FirstParagraph"/>
      </w:pPr>
      <w:r>
        <w:rPr>
          <w:bCs/>
          <w:b/>
        </w:rPr>
        <w:t xml:space="preserve">4.1</w:t>
      </w:r>
      <w:r>
        <w:t xml:space="preserve"> </w:t>
      </w:r>
      <w:r>
        <w:t xml:space="preserve">– This</w:t>
      </w:r>
      <w:r>
        <w:t xml:space="preserve"> </w:t>
      </w:r>
      <w:r>
        <w:t xml:space="preserve">Purchase Order</w:t>
      </w:r>
      <w:r>
        <w:t xml:space="preserve"> </w:t>
      </w:r>
      <w:r>
        <w:t xml:space="preserve">constitutes a binding agreement between the Buyer and the Seller for the procurement of the</w:t>
      </w:r>
      <w:r>
        <w:t xml:space="preserve"> </w:t>
      </w:r>
      <w:r>
        <w:t xml:space="preserve">Sales Executive</w:t>
      </w:r>
      <w:r>
        <w:t xml:space="preserve"> </w:t>
      </w:r>
      <w:r>
        <w:t xml:space="preserve">services as described herein. Both parties acknowledge that all operations under this</w:t>
      </w:r>
      <w:r>
        <w:t xml:space="preserve"> </w:t>
      </w:r>
      <w:r>
        <w:t xml:space="preserve">Purchase Order</w:t>
      </w:r>
      <w:r>
        <w:t xml:space="preserve"> </w:t>
      </w:r>
      <w:r>
        <w:t xml:space="preserve">shall be conducted within the jurisdiction of</w:t>
      </w:r>
      <w:r>
        <w:t xml:space="preserve"> </w:t>
      </w:r>
      <w:r>
        <w:t xml:space="preserve">Egypt Alexandria</w:t>
      </w:r>
      <w:r>
        <w:t xml:space="preserve">, and any disputes shall be resolved under Egyptian commercial law.</w:t>
      </w:r>
    </w:p>
    <w:p>
      <w:pPr>
        <w:pStyle w:val="BodyText"/>
      </w:pPr>
      <w:r>
        <w:rPr>
          <w:bCs/>
          <w:b/>
        </w:rPr>
        <w:t xml:space="preserve">4.2</w:t>
      </w:r>
      <w:r>
        <w:t xml:space="preserve"> </w:t>
      </w:r>
      <w:r>
        <w:t xml:space="preserve">– The</w:t>
      </w:r>
      <w:r>
        <w:t xml:space="preserve"> </w:t>
      </w:r>
      <w:r>
        <w:t xml:space="preserve">Sales Executive</w:t>
      </w:r>
      <w:r>
        <w:t xml:space="preserve"> </w:t>
      </w:r>
      <w:r>
        <w:t xml:space="preserve">shall possess a minimum of five (5) years of proven experience in B2B sales within the Egyptian market, with demonstrated knowledge of the</w:t>
      </w:r>
      <w:r>
        <w:t xml:space="preserve"> </w:t>
      </w:r>
      <w:r>
        <w:t xml:space="preserve">Egypt Alexandria</w:t>
      </w:r>
      <w:r>
        <w:t xml:space="preserve"> </w:t>
      </w:r>
      <w:r>
        <w:t xml:space="preserve">commercial landscape, including the port logistics sector, manufacturing, and retail distribution channels.</w:t>
      </w:r>
    </w:p>
    <w:p>
      <w:pPr>
        <w:pStyle w:val="BodyText"/>
      </w:pPr>
      <w:r>
        <w:rPr>
          <w:bCs/>
          <w:b/>
        </w:rPr>
        <w:t xml:space="preserve">4.3</w:t>
      </w:r>
      <w:r>
        <w:t xml:space="preserve"> </w:t>
      </w:r>
      <w:r>
        <w:t xml:space="preserve">– Payment terms: 40% advance upon acceptance of this</w:t>
      </w:r>
      <w:r>
        <w:t xml:space="preserve"> </w:t>
      </w:r>
      <w:r>
        <w:t xml:space="preserve">Purchase Order</w:t>
      </w:r>
      <w:r>
        <w:t xml:space="preserve">, 40% upon successful onboarding of the</w:t>
      </w:r>
      <w:r>
        <w:t xml:space="preserve"> </w:t>
      </w:r>
      <w:r>
        <w:t xml:space="preserve">Sales Executive</w:t>
      </w:r>
      <w:r>
        <w:t xml:space="preserve">, and the remaining 20% upon completion of the probationary period. All payments shall be made via bank transfer to the Seller's designated account in Egyptian Pounds (EGP).</w:t>
      </w:r>
    </w:p>
    <w:p>
      <w:pPr>
        <w:pStyle w:val="BodyText"/>
      </w:pPr>
      <w:r>
        <w:rPr>
          <w:bCs/>
          <w:b/>
        </w:rPr>
        <w:t xml:space="preserve">4.4</w:t>
      </w:r>
      <w:r>
        <w:t xml:space="preserve"> </w:t>
      </w:r>
      <w:r>
        <w:t xml:space="preserve">– The Seller guarantees that the</w:t>
      </w:r>
      <w:r>
        <w:t xml:space="preserve"> </w:t>
      </w:r>
      <w:r>
        <w:t xml:space="preserve">Sales Executive</w:t>
      </w:r>
      <w:r>
        <w:t xml:space="preserve"> </w:t>
      </w:r>
      <w:r>
        <w:t xml:space="preserve">placed under this</w:t>
      </w:r>
      <w:r>
        <w:t xml:space="preserve"> </w:t>
      </w:r>
      <w:r>
        <w:t xml:space="preserve">Purchase Order</w:t>
      </w:r>
      <w:r>
        <w:t xml:space="preserve"> </w:t>
      </w:r>
      <w:r>
        <w:t xml:space="preserve">shall meet all qualifications specified in Section 2. In the event the</w:t>
      </w:r>
      <w:r>
        <w:t xml:space="preserve"> </w:t>
      </w:r>
      <w:r>
        <w:t xml:space="preserve">Sales Executive</w:t>
      </w:r>
      <w:r>
        <w:t xml:space="preserve"> </w:t>
      </w:r>
      <w:r>
        <w:t xml:space="preserve">fails to meet performance benchmarks during the probationary period, the Seller shall provide a replacement candidate at no additional cost within thirty (30) calendar days.</w:t>
      </w:r>
    </w:p>
    <w:p>
      <w:pPr>
        <w:pStyle w:val="BodyText"/>
      </w:pPr>
      <w:r>
        <w:rPr>
          <w:bCs/>
          <w:b/>
        </w:rPr>
        <w:t xml:space="preserve">4.5</w:t>
      </w:r>
      <w:r>
        <w:t xml:space="preserve"> </w:t>
      </w:r>
      <w:r>
        <w:t xml:space="preserve">– The</w:t>
      </w:r>
      <w:r>
        <w:t xml:space="preserve"> </w:t>
      </w:r>
      <w:r>
        <w:t xml:space="preserve">Purchase Order</w:t>
      </w:r>
      <w:r>
        <w:t xml:space="preserve"> </w:t>
      </w:r>
      <w:r>
        <w:t xml:space="preserve">is valid for thirty (30) days from the date of issue. Failure to execute within this period shall render this</w:t>
      </w:r>
      <w:r>
        <w:t xml:space="preserve"> </w:t>
      </w:r>
      <w:r>
        <w:t xml:space="preserve">Purchase Order</w:t>
      </w:r>
      <w:r>
        <w:t xml:space="preserve"> </w:t>
      </w:r>
      <w:r>
        <w:t xml:space="preserve">null and void, and a new</w:t>
      </w:r>
      <w:r>
        <w:t xml:space="preserve"> </w:t>
      </w:r>
      <w:r>
        <w:t xml:space="preserve">Purchase Order</w:t>
      </w:r>
      <w:r>
        <w:t xml:space="preserve"> </w:t>
      </w:r>
      <w:r>
        <w:t xml:space="preserve">must be generated for the</w:t>
      </w:r>
      <w:r>
        <w:t xml:space="preserve"> </w:t>
      </w:r>
      <w:r>
        <w:t xml:space="preserve">Sales Executive</w:t>
      </w:r>
      <w:r>
        <w:t xml:space="preserve"> </w:t>
      </w:r>
      <w:r>
        <w:t xml:space="preserve">procurement.</w:t>
      </w:r>
    </w:p>
    <w:p>
      <w:pPr>
        <w:pStyle w:val="BodyText"/>
      </w:pPr>
      <w:r>
        <w:rPr>
          <w:bCs/>
          <w:b/>
        </w:rPr>
        <w:t xml:space="preserve">4.6</w:t>
      </w:r>
      <w:r>
        <w:t xml:space="preserve"> </w:t>
      </w:r>
      <w:r>
        <w:t xml:space="preserve">– All personal data collected during the recruitment of the</w:t>
      </w:r>
      <w:r>
        <w:t xml:space="preserve"> </w:t>
      </w:r>
      <w:r>
        <w:t xml:space="preserve">Sales Executive</w:t>
      </w:r>
      <w:r>
        <w:t xml:space="preserve"> </w:t>
      </w:r>
      <w:r>
        <w:t xml:space="preserve">shall be handled in accordance with Egypt's Personal Data Protection Law No. 151 of 2020. The Seller shall ensure full compliance with data privacy regulations applicable in</w:t>
      </w:r>
      <w:r>
        <w:t xml:space="preserve"> </w:t>
      </w:r>
      <w:r>
        <w:t xml:space="preserve">Egypt Alexandria</w:t>
      </w:r>
      <w:r>
        <w:t xml:space="preserve">.</w:t>
      </w:r>
    </w:p>
    <w:p>
      <w:pPr>
        <w:pStyle w:val="BodyText"/>
      </w:pPr>
      <w:r>
        <w:rPr>
          <w:bCs/>
          <w:b/>
        </w:rPr>
        <w:t xml:space="preserve">4.7</w:t>
      </w:r>
      <w:r>
        <w:t xml:space="preserve"> </w:t>
      </w:r>
      <w:r>
        <w:t xml:space="preserve">– The</w:t>
      </w:r>
      <w:r>
        <w:t xml:space="preserve"> </w:t>
      </w:r>
      <w:r>
        <w:t xml:space="preserve">Sales Executive</w:t>
      </w:r>
      <w:r>
        <w:t xml:space="preserve"> </w:t>
      </w:r>
      <w:r>
        <w:t xml:space="preserve">shall be subject to a non-compete clause for a period of twelve (12) months following the termination of employment, applicable to the</w:t>
      </w:r>
      <w:r>
        <w:t xml:space="preserve"> </w:t>
      </w:r>
      <w:r>
        <w:t xml:space="preserve">Egypt Alexandria</w:t>
      </w:r>
      <w:r>
        <w:t xml:space="preserve"> </w:t>
      </w:r>
      <w:r>
        <w:t xml:space="preserve">region and its immediate economic zone.</w:t>
      </w:r>
    </w:p>
    <w:bookmarkEnd w:id="24"/>
    <w:bookmarkStart w:id="25" w:name="delivery-and-acceptance"/>
    <w:p>
      <w:pPr>
        <w:pStyle w:val="Heading2"/>
      </w:pPr>
      <w:r>
        <w:t xml:space="preserve">5. Delivery and Acceptance</w:t>
      </w:r>
    </w:p>
    <w:p>
      <w:pPr>
        <w:pStyle w:val="FirstParagraph"/>
      </w:pPr>
      <w:r>
        <w:t xml:space="preserve">The</w:t>
      </w:r>
      <w:r>
        <w:t xml:space="preserve"> </w:t>
      </w:r>
      <w:r>
        <w:t xml:space="preserve">Sales Executive</w:t>
      </w:r>
      <w:r>
        <w:t xml:space="preserve"> </w:t>
      </w:r>
      <w:r>
        <w:t xml:space="preserve">shall be made available for onboarding at the Buyer's office located in</w:t>
      </w:r>
      <w:r>
        <w:t xml:space="preserve"> </w:t>
      </w:r>
      <w:r>
        <w:t xml:space="preserve">Egypt Alexandria</w:t>
      </w:r>
      <w:r>
        <w:t xml:space="preserve"> </w:t>
      </w:r>
      <w:r>
        <w:t xml:space="preserve">(Smouha District) no later than twenty-one (21) calendar days from the date of this</w:t>
      </w:r>
      <w:r>
        <w:t xml:space="preserve"> </w:t>
      </w:r>
      <w:r>
        <w:t xml:space="preserve">Purchase Order</w:t>
      </w:r>
      <w:r>
        <w:t xml:space="preserve"> </w:t>
      </w:r>
      <w:r>
        <w:t xml:space="preserve">acceptance. The Buyer shall have five (5) business days following the</w:t>
      </w:r>
      <w:r>
        <w:t xml:space="preserve"> </w:t>
      </w:r>
      <w:r>
        <w:t xml:space="preserve">Sales Executive</w:t>
      </w:r>
      <w:r>
        <w:t xml:space="preserve">'s first day of employment to formally accept or reject the placement. Rejection must be communicated in writing with specific reasons, and the Seller shall initiate the replacement process within ten (10) business days.</w:t>
      </w:r>
    </w:p>
    <w:bookmarkEnd w:id="25"/>
    <w:p>
      <w:pPr>
        <w:pStyle w:val="BodyText"/>
      </w:pPr>
      <w:r>
        <w:rPr>
          <w:bCs/>
          <w:b/>
        </w:rPr>
        <w:t xml:space="preserve">For and on behalf of the Buyer:</w:t>
      </w:r>
    </w:p>
    <w:p>
      <w:pPr>
        <w:pStyle w:val="BodyText"/>
      </w:pPr>
      <w:r>
        <w:t xml:space="preserve">Mediterranean Commercial Group S.A.E.</w:t>
      </w:r>
    </w:p>
    <w:p>
      <w:pPr>
        <w:pStyle w:val="BodyText"/>
      </w:pPr>
      <w:r>
        <w:t xml:space="preserve">Name: Tarek El-Sayed</w:t>
      </w:r>
      <w:r>
        <w:br/>
      </w:r>
      <w:r>
        <w:t xml:space="preserve">Title: Head of Human Resources</w:t>
      </w:r>
      <w:r>
        <w:br/>
      </w:r>
      <w:r>
        <w:t xml:space="preserve">Signature: _________________________</w:t>
      </w:r>
      <w:r>
        <w:br/>
      </w:r>
      <w:r>
        <w:t xml:space="preserve">Date: _________________________</w:t>
      </w:r>
    </w:p>
    <w:p>
      <w:pPr>
        <w:pStyle w:val="BodyText"/>
      </w:pPr>
      <w:r>
        <w:rPr>
          <w:bCs/>
          <w:b/>
        </w:rPr>
        <w:t xml:space="preserve">For and on behalf of the Seller:</w:t>
      </w:r>
    </w:p>
    <w:p>
      <w:pPr>
        <w:pStyle w:val="BodyText"/>
      </w:pPr>
      <w:r>
        <w:t xml:space="preserve">Alexandria Talent Solutions &amp; Recruitment Ltd.</w:t>
      </w:r>
    </w:p>
    <w:p>
      <w:pPr>
        <w:pStyle w:val="BodyText"/>
      </w:pPr>
      <w:r>
        <w:t xml:space="preserve">Name: Nourhan Abdel-Fattah</w:t>
      </w:r>
      <w:r>
        <w:br/>
      </w:r>
      <w:r>
        <w:t xml:space="preserve">Title: Account Director</w:t>
      </w:r>
      <w:r>
        <w:br/>
      </w:r>
      <w:r>
        <w:t xml:space="preserve">Signature: _________________________</w:t>
      </w:r>
      <w:r>
        <w:br/>
      </w:r>
      <w:r>
        <w:t xml:space="preserve">Date: _________________________</w:t>
      </w:r>
    </w:p>
    <w:p>
      <w:pPr>
        <w:pStyle w:val="BodyText"/>
      </w:pPr>
      <w:r>
        <w:t xml:space="preserve">This</w:t>
      </w:r>
      <w:r>
        <w:t xml:space="preserve"> </w:t>
      </w:r>
      <w:r>
        <w:t xml:space="preserve">Purchase Order</w:t>
      </w:r>
      <w:r>
        <w:t xml:space="preserve"> </w:t>
      </w:r>
      <w:r>
        <w:t xml:space="preserve">(No. EGY-ALX-2025-04782) is issued for the procurement of a</w:t>
      </w:r>
      <w:r>
        <w:t xml:space="preserve"> </w:t>
      </w:r>
      <w:r>
        <w:t xml:space="preserve">Sales Executive</w:t>
      </w:r>
      <w:r>
        <w:t xml:space="preserve"> </w:t>
      </w:r>
      <w:r>
        <w:t xml:space="preserve">for operations in</w:t>
      </w:r>
      <w:r>
        <w:t xml:space="preserve"> </w:t>
      </w:r>
      <w:r>
        <w:t xml:space="preserve">Egypt Alexandria</w:t>
      </w:r>
      <w:r>
        <w:t xml:space="preserve">. This document is valid only when signed and stamped by both parties. Unauthorized reproduction or distribution is prohibited. All communications regarding this</w:t>
      </w:r>
      <w:r>
        <w:t xml:space="preserve"> </w:t>
      </w:r>
      <w:r>
        <w:t xml:space="preserve">Purchase Order</w:t>
      </w:r>
      <w:r>
        <w:t xml:space="preserve"> </w:t>
      </w:r>
      <w:r>
        <w:t xml:space="preserve">shall be directed to the respective contact persons listed in Section 1.</w:t>
      </w:r>
    </w:p>
    <w:p>
      <w:pPr>
        <w:pStyle w:val="BodyText"/>
      </w:pPr>
      <w:r>
        <w:t xml:space="preserve">© 2025 Mediterranean Commercial Group S.A.E. – Egypt Alexandria.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Sales Executive - Egypt Alexandria</dc:title>
  <dc:creator/>
  <dc:language>en</dc:language>
  <cp:keywords/>
  <dcterms:created xsi:type="dcterms:W3CDTF">2026-10-10T04:14:26Z</dcterms:created>
  <dcterms:modified xsi:type="dcterms:W3CDTF">2026-10-10T04:14:26Z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