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Sales</w:t>
      </w:r>
      <w:r>
        <w:t xml:space="preserve"> </w:t>
      </w:r>
      <w:r>
        <w:t xml:space="preserve">Executive</w:t>
      </w:r>
      <w:r>
        <w:t xml:space="preserve"> </w:t>
      </w:r>
      <w:r>
        <w:t xml:space="preserve">-</w:t>
      </w:r>
      <w:r>
        <w:t xml:space="preserve"> </w:t>
      </w:r>
      <w:r>
        <w:t xml:space="preserve">Indonesia</w:t>
      </w:r>
      <w:r>
        <w:t xml:space="preserve"> </w:t>
      </w:r>
      <w:r>
        <w:t xml:space="preserve">Jakarta</w:t>
      </w:r>
    </w:p>
    <w:bookmarkStart w:id="20" w:name="purchase-order"/>
    <w:p>
      <w:pPr>
        <w:pStyle w:val="Heading1"/>
      </w:pPr>
      <w:r>
        <w:t xml:space="preserve">PURCHASE ORDER</w:t>
      </w:r>
    </w:p>
    <w:p>
      <w:pPr>
        <w:pStyle w:val="FirstParagraph"/>
      </w:pPr>
      <w:r>
        <w:t xml:space="preserve">Document Reference: PO-JKT-SE-2025-0047</w:t>
      </w:r>
    </w:p>
    <w:p>
      <w:pPr>
        <w:pStyle w:val="BodyText"/>
      </w:pPr>
      <w:r>
        <w:t xml:space="preserve">Date of Issue: 15 June 2025</w:t>
      </w:r>
    </w:p>
    <w:p>
      <w:pPr>
        <w:pStyle w:val="BodyText"/>
      </w:pPr>
      <w:r>
        <w:t xml:space="preserve">Validity Period: 30 Days from Date of Issue</w:t>
      </w:r>
    </w:p>
    <w:bookmarkEnd w:id="20"/>
    <w:bookmarkStart w:id="21" w:name="parties-involved"/>
    <w:p>
      <w:pPr>
        <w:pStyle w:val="Heading2"/>
      </w:pPr>
      <w:r>
        <w:t xml:space="preserve">1. PARTIES INVOLVED</w:t>
      </w:r>
    </w:p>
    <w:tbl>
      <w:tblPr>
        <w:tblStyle w:val="Table"/>
        <w:tblW w:type="pct" w:w="5000"/>
        <w:tblLook w:firstRow="0" w:lastRow="0" w:firstColumn="0" w:lastColumn="0" w:noHBand="0" w:noVBand="0" w:val="0000"/>
      </w:tblPr>
      <w:tblGrid>
        <w:gridCol w:w="3960"/>
        <w:gridCol w:w="3960"/>
      </w:tblGrid>
      <w:tr>
        <w:tc>
          <w:tcPr/>
          <w:p>
            <w:pPr>
              <w:pStyle w:val="Compact"/>
              <w:jc w:val="left"/>
            </w:pPr>
            <w:r>
              <w:rPr>
                <w:bCs/>
                <w:b/>
              </w:rPr>
              <w:t xml:space="preserve">Purchasing Entity (Buyer):</w:t>
            </w:r>
            <w:r>
              <w:br/>
            </w:r>
            <w:r>
              <w:t xml:space="preserve">PT Nusantara Global Solutions</w:t>
            </w:r>
            <w:r>
              <w:br/>
            </w:r>
            <w:r>
              <w:t xml:space="preserve">Jl. Jend. Sudirman Kav. 52-53, SCBD District</w:t>
            </w:r>
            <w:r>
              <w:br/>
            </w:r>
            <w:r>
              <w:t xml:space="preserve">Jakarta Selatan, Indonesia Jakarta 12190</w:t>
            </w:r>
            <w:r>
              <w:br/>
            </w:r>
            <w:r>
              <w:t xml:space="preserve">Tax ID (NPWP): 02.345.678.9-011.000</w:t>
            </w:r>
            <w:r>
              <w:br/>
            </w:r>
            <w:r>
              <w:t xml:space="preserve">Contact: procurement@nusantaraglobal.co.id</w:t>
            </w:r>
          </w:p>
        </w:tc>
        <w:tc>
          <w:tcPr/>
          <w:p>
            <w:pPr>
              <w:pStyle w:val="Compact"/>
              <w:jc w:val="left"/>
            </w:pPr>
            <w:r>
              <w:rPr>
                <w:bCs/>
                <w:b/>
              </w:rPr>
              <w:t xml:space="preserve">Service Provider (Seller):</w:t>
            </w:r>
            <w:r>
              <w:br/>
            </w:r>
            <w:r>
              <w:t xml:space="preserve">PT Jakarta Talent Acquisition Partners</w:t>
            </w:r>
            <w:r>
              <w:br/>
            </w:r>
            <w:r>
              <w:t xml:space="preserve">Jl. HR Rasuna Said Kav. 1-2, Kuningan</w:t>
            </w:r>
            <w:r>
              <w:br/>
            </w:r>
            <w:r>
              <w:t xml:space="preserve">Jakarta Selatan, Indonesia Jakarta 12950</w:t>
            </w:r>
            <w:r>
              <w:br/>
            </w:r>
            <w:r>
              <w:t xml:space="preserve">Tax ID (NPWP): 01.987.654.3-012.000</w:t>
            </w:r>
            <w:r>
              <w:br/>
            </w:r>
            <w:r>
              <w:t xml:space="preserve">Contact: contracts@jakartatalent.com</w:t>
            </w:r>
          </w:p>
        </w:tc>
      </w:tr>
    </w:tbl>
    <w:bookmarkEnd w:id="21"/>
    <w:bookmarkStart w:id="22" w:name="purpose-and-scope-of-this-purchase-order"/>
    <w:p>
      <w:pPr>
        <w:pStyle w:val="Heading2"/>
      </w:pPr>
      <w:r>
        <w:t xml:space="preserve">2. PURPOSE AND SCOPE OF THIS PURCHASE ORDER</w:t>
      </w:r>
    </w:p>
    <w:p>
      <w:pPr>
        <w:pStyle w:val="FirstParagraph"/>
      </w:pPr>
      <w:r>
        <w:t xml:space="preserve">This Purchase Order is issued by PT Nusantara Global Solutions to formally authorize and procure the professional services of a qualified</w:t>
      </w:r>
      <w:r>
        <w:t xml:space="preserve"> </w:t>
      </w:r>
      <w:r>
        <w:rPr>
          <w:bCs/>
          <w:b/>
        </w:rPr>
        <w:t xml:space="preserve">Sales Executive</w:t>
      </w:r>
      <w:r>
        <w:t xml:space="preserve"> </w:t>
      </w:r>
      <w:r>
        <w:t xml:space="preserve">to be deployed and operational within the Indonesia Jakarta metropolitan area. The scope of this Purchase Order encompasses the complete recruitment, onboarding, compensation, equipment provisioning, and ongoing professional management of the Sales Executive role for a contract period of twelve (12) months, renewable upon mutual agreement of both parties.</w:t>
      </w:r>
    </w:p>
    <w:p>
      <w:pPr>
        <w:pStyle w:val="BodyText"/>
      </w:pPr>
      <w:r>
        <w:t xml:space="preserve">The Sales Executive engaged under this Purchase Order shall be responsible for driving revenue growth, managing client relationships, executing sales strategies, and representing the purchasing entity's brand across the Indonesia Jakarta business district and surrounding provinces. All activities, reporting structures, and operational parameters of the Sales Executive shall be governed by the terms specified in this Purchase Order and the supplementary employment agreement referenced herein.</w:t>
      </w:r>
    </w:p>
    <w:bookmarkEnd w:id="22"/>
    <w:bookmarkStart w:id="23" w:name="line-items-and-cost-breakdown"/>
    <w:p>
      <w:pPr>
        <w:pStyle w:val="Heading2"/>
      </w:pPr>
      <w:r>
        <w:t xml:space="preserve">3. LINE ITEMS AND COST BREAKDOWN</w:t>
      </w:r>
    </w:p>
    <w:tbl>
      <w:tblPr>
        <w:tblStyle w:val="Table"/>
        <w:tblW w:type="auto" w:w="0"/>
        <w:tblLook w:firstRow="1" w:lastRow="1"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center"/>
            </w:pPr>
            <w:r>
              <w:t xml:space="preserve">Qty</w:t>
            </w:r>
          </w:p>
        </w:tc>
        <w:tc>
          <w:tcPr/>
          <w:p>
            <w:pPr>
              <w:pStyle w:val="Compact"/>
              <w:jc w:val="right"/>
            </w:pPr>
            <w:r>
              <w:t xml:space="preserve">Unit Price (IDR)</w:t>
            </w:r>
          </w:p>
        </w:tc>
        <w:tc>
          <w:tcPr/>
          <w:p>
            <w:pPr>
              <w:pStyle w:val="Compact"/>
              <w:jc w:val="right"/>
            </w:pPr>
            <w:r>
              <w:t xml:space="preserve">Total (IDR)</w:t>
            </w:r>
          </w:p>
        </w:tc>
      </w:tr>
      <w:tr>
        <w:tc>
          <w:tcPr/>
          <w:p>
            <w:pPr>
              <w:pStyle w:val="Compact"/>
              <w:jc w:val="left"/>
            </w:pPr>
            <w:r>
              <w:t xml:space="preserve">001</w:t>
            </w:r>
          </w:p>
        </w:tc>
        <w:tc>
          <w:tcPr/>
          <w:p>
            <w:pPr>
              <w:pStyle w:val="Compact"/>
              <w:jc w:val="left"/>
            </w:pPr>
            <w:r>
              <w:t xml:space="preserve">Recruitment and placement fee for Senior Sales Executive position, Indonesia Jakarta office</w:t>
            </w:r>
          </w:p>
        </w:tc>
        <w:tc>
          <w:tcPr/>
          <w:p>
            <w:pPr>
              <w:pStyle w:val="Compact"/>
              <w:jc w:val="center"/>
            </w:pPr>
            <w:r>
              <w:t xml:space="preserve">1</w:t>
            </w:r>
          </w:p>
        </w:tc>
        <w:tc>
          <w:tcPr/>
          <w:p>
            <w:pPr>
              <w:pStyle w:val="Compact"/>
              <w:jc w:val="right"/>
            </w:pPr>
            <w:r>
              <w:t xml:space="preserve">45,000,000</w:t>
            </w:r>
          </w:p>
        </w:tc>
        <w:tc>
          <w:tcPr/>
          <w:p>
            <w:pPr>
              <w:pStyle w:val="Compact"/>
              <w:jc w:val="right"/>
            </w:pPr>
            <w:r>
              <w:t xml:space="preserve">45,000,000</w:t>
            </w:r>
          </w:p>
        </w:tc>
      </w:tr>
      <w:tr>
        <w:tc>
          <w:tcPr/>
          <w:p>
            <w:pPr>
              <w:pStyle w:val="Compact"/>
              <w:jc w:val="left"/>
            </w:pPr>
            <w:r>
              <w:t xml:space="preserve">002</w:t>
            </w:r>
          </w:p>
        </w:tc>
        <w:tc>
          <w:tcPr/>
          <w:p>
            <w:pPr>
              <w:pStyle w:val="Compact"/>
              <w:jc w:val="left"/>
            </w:pPr>
            <w:r>
              <w:t xml:space="preserve">Monthly base compensation for Sales Executive (12-month contract), Indonesia Jakarta</w:t>
            </w:r>
          </w:p>
        </w:tc>
        <w:tc>
          <w:tcPr/>
          <w:p>
            <w:pPr>
              <w:pStyle w:val="Compact"/>
              <w:jc w:val="center"/>
            </w:pPr>
            <w:r>
              <w:t xml:space="preserve">12</w:t>
            </w:r>
          </w:p>
        </w:tc>
        <w:tc>
          <w:tcPr/>
          <w:p>
            <w:pPr>
              <w:pStyle w:val="Compact"/>
              <w:jc w:val="right"/>
            </w:pPr>
            <w:r>
              <w:t xml:space="preserve">38,500,000</w:t>
            </w:r>
          </w:p>
        </w:tc>
        <w:tc>
          <w:tcPr/>
          <w:p>
            <w:pPr>
              <w:pStyle w:val="Compact"/>
              <w:jc w:val="right"/>
            </w:pPr>
            <w:r>
              <w:t xml:space="preserve">462,000,000</w:t>
            </w:r>
          </w:p>
        </w:tc>
      </w:tr>
      <w:tr>
        <w:tc>
          <w:tcPr/>
          <w:p>
            <w:pPr>
              <w:pStyle w:val="Compact"/>
              <w:jc w:val="left"/>
            </w:pPr>
            <w:r>
              <w:t xml:space="preserve">003</w:t>
            </w:r>
          </w:p>
        </w:tc>
        <w:tc>
          <w:tcPr/>
          <w:p>
            <w:pPr>
              <w:pStyle w:val="Compact"/>
              <w:jc w:val="left"/>
            </w:pPr>
            <w:r>
              <w:t xml:space="preserve">Performance-based commission structure for Sales Executive (estimated annual allocation), Indonesia Jakarta market</w:t>
            </w:r>
          </w:p>
        </w:tc>
        <w:tc>
          <w:tcPr/>
          <w:p>
            <w:pPr>
              <w:pStyle w:val="Compact"/>
              <w:jc w:val="center"/>
            </w:pPr>
            <w:r>
              <w:t xml:space="preserve">1</w:t>
            </w:r>
          </w:p>
        </w:tc>
        <w:tc>
          <w:tcPr/>
          <w:p>
            <w:pPr>
              <w:pStyle w:val="Compact"/>
              <w:jc w:val="right"/>
            </w:pPr>
            <w:r>
              <w:t xml:space="preserve">85,000,000</w:t>
            </w:r>
          </w:p>
        </w:tc>
        <w:tc>
          <w:tcPr/>
          <w:p>
            <w:pPr>
              <w:pStyle w:val="Compact"/>
              <w:jc w:val="right"/>
            </w:pPr>
            <w:r>
              <w:t xml:space="preserve">85,000,000</w:t>
            </w:r>
          </w:p>
        </w:tc>
      </w:tr>
      <w:tr>
        <w:tc>
          <w:tcPr/>
          <w:p>
            <w:pPr>
              <w:pStyle w:val="Compact"/>
              <w:jc w:val="left"/>
            </w:pPr>
            <w:r>
              <w:t xml:space="preserve">004</w:t>
            </w:r>
          </w:p>
        </w:tc>
        <w:tc>
          <w:tcPr/>
          <w:p>
            <w:pPr>
              <w:pStyle w:val="Compact"/>
              <w:jc w:val="left"/>
            </w:pPr>
            <w:r>
              <w:t xml:space="preserve">Workstation equipment package (laptop, dual monitors, headset, ergonomic chair) for Sales Executive, Indonesia Jakarta office</w:t>
            </w:r>
          </w:p>
        </w:tc>
        <w:tc>
          <w:tcPr/>
          <w:p>
            <w:pPr>
              <w:pStyle w:val="Compact"/>
              <w:jc w:val="center"/>
            </w:pPr>
            <w:r>
              <w:t xml:space="preserve">1</w:t>
            </w:r>
          </w:p>
        </w:tc>
        <w:tc>
          <w:tcPr/>
          <w:p>
            <w:pPr>
              <w:pStyle w:val="Compact"/>
              <w:jc w:val="right"/>
            </w:pPr>
            <w:r>
              <w:t xml:space="preserve">28,750,000</w:t>
            </w:r>
          </w:p>
        </w:tc>
        <w:tc>
          <w:tcPr/>
          <w:p>
            <w:pPr>
              <w:pStyle w:val="Compact"/>
              <w:jc w:val="right"/>
            </w:pPr>
            <w:r>
              <w:t xml:space="preserve">28,750,000</w:t>
            </w:r>
          </w:p>
        </w:tc>
      </w:tr>
      <w:tr>
        <w:tc>
          <w:tcPr/>
          <w:p>
            <w:pPr>
              <w:pStyle w:val="Compact"/>
              <w:jc w:val="left"/>
            </w:pPr>
            <w:r>
              <w:t xml:space="preserve">005</w:t>
            </w:r>
          </w:p>
        </w:tc>
        <w:tc>
          <w:tcPr/>
          <w:p>
            <w:pPr>
              <w:pStyle w:val="Compact"/>
              <w:jc w:val="left"/>
            </w:pPr>
            <w:r>
              <w:t xml:space="preserve">CRM software license and sales enablement tools (annual subscription) for Sales Executive</w:t>
            </w:r>
          </w:p>
        </w:tc>
        <w:tc>
          <w:tcPr/>
          <w:p>
            <w:pPr>
              <w:pStyle w:val="Compact"/>
              <w:jc w:val="center"/>
            </w:pPr>
            <w:r>
              <w:t xml:space="preserve">1</w:t>
            </w:r>
          </w:p>
        </w:tc>
        <w:tc>
          <w:tcPr/>
          <w:p>
            <w:pPr>
              <w:pStyle w:val="Compact"/>
              <w:jc w:val="right"/>
            </w:pPr>
            <w:r>
              <w:t xml:space="preserve">12,400,000</w:t>
            </w:r>
          </w:p>
        </w:tc>
        <w:tc>
          <w:tcPr/>
          <w:p>
            <w:pPr>
              <w:pStyle w:val="Compact"/>
              <w:jc w:val="right"/>
            </w:pPr>
            <w:r>
              <w:t xml:space="preserve">12,400,000</w:t>
            </w:r>
          </w:p>
        </w:tc>
      </w:tr>
      <w:tr>
        <w:tc>
          <w:tcPr/>
          <w:p>
            <w:pPr>
              <w:pStyle w:val="Compact"/>
              <w:jc w:val="left"/>
            </w:pPr>
            <w:r>
              <w:t xml:space="preserve">006</w:t>
            </w:r>
          </w:p>
        </w:tc>
        <w:tc>
          <w:tcPr/>
          <w:p>
            <w:pPr>
              <w:pStyle w:val="Compact"/>
              <w:jc w:val="left"/>
            </w:pPr>
            <w:r>
              <w:t xml:space="preserve">Professional development and sales training program (quarterly workshops in Indonesia Jakarta)</w:t>
            </w:r>
          </w:p>
        </w:tc>
        <w:tc>
          <w:tcPr/>
          <w:p>
            <w:pPr>
              <w:pStyle w:val="Compact"/>
              <w:jc w:val="center"/>
            </w:pPr>
            <w:r>
              <w:t xml:space="preserve">4</w:t>
            </w:r>
          </w:p>
        </w:tc>
        <w:tc>
          <w:tcPr/>
          <w:p>
            <w:pPr>
              <w:pStyle w:val="Compact"/>
              <w:jc w:val="right"/>
            </w:pPr>
            <w:r>
              <w:t xml:space="preserve">7,500,000</w:t>
            </w:r>
          </w:p>
        </w:tc>
        <w:tc>
          <w:tcPr/>
          <w:p>
            <w:pPr>
              <w:pStyle w:val="Compact"/>
              <w:jc w:val="right"/>
            </w:pPr>
            <w:r>
              <w:t xml:space="preserve">30,000,000</w:t>
            </w:r>
          </w:p>
        </w:tc>
      </w:tr>
      <w:tr>
        <w:tc>
          <w:tcPr/>
          <w:p>
            <w:pPr>
              <w:pStyle w:val="Compact"/>
              <w:jc w:val="left"/>
            </w:pPr>
            <w:r>
              <w:t xml:space="preserve">007</w:t>
            </w:r>
          </w:p>
        </w:tc>
        <w:tc>
          <w:tcPr/>
          <w:p>
            <w:pPr>
              <w:pStyle w:val="Compact"/>
              <w:jc w:val="left"/>
            </w:pPr>
            <w:r>
              <w:t xml:space="preserve">Monthly transportation and client entertainment allowance for Sales Executive, Indonesia Jakarta</w:t>
            </w:r>
          </w:p>
        </w:tc>
        <w:tc>
          <w:tcPr/>
          <w:p>
            <w:pPr>
              <w:pStyle w:val="Compact"/>
              <w:jc w:val="center"/>
            </w:pPr>
            <w:r>
              <w:t xml:space="preserve">12</w:t>
            </w:r>
          </w:p>
        </w:tc>
        <w:tc>
          <w:tcPr/>
          <w:p>
            <w:pPr>
              <w:pStyle w:val="Compact"/>
              <w:jc w:val="right"/>
            </w:pPr>
            <w:r>
              <w:t xml:space="preserve">5,200,000</w:t>
            </w:r>
          </w:p>
        </w:tc>
        <w:tc>
          <w:tcPr/>
          <w:p>
            <w:pPr>
              <w:pStyle w:val="Compact"/>
              <w:jc w:val="right"/>
            </w:pPr>
            <w:r>
              <w:t xml:space="preserve">62,400,000</w:t>
            </w:r>
          </w:p>
        </w:tc>
      </w:tr>
      <w:tr>
        <w:tc>
          <w:tcPr/>
          <w:p>
            <w:pPr>
              <w:pStyle w:val="Compact"/>
              <w:jc w:val="left"/>
            </w:pPr>
            <w:r>
              <w:t xml:space="preserve">008</w:t>
            </w:r>
          </w:p>
        </w:tc>
        <w:tc>
          <w:tcPr/>
          <w:p>
            <w:pPr>
              <w:pStyle w:val="Compact"/>
              <w:jc w:val="left"/>
            </w:pPr>
            <w:r>
              <w:t xml:space="preserve">BPJS Kesehatan and BPJS Ketenagakerjaan employer contributions (annual), Indonesia Jakarta</w:t>
            </w:r>
          </w:p>
        </w:tc>
        <w:tc>
          <w:tcPr/>
          <w:p>
            <w:pPr>
              <w:pStyle w:val="Compact"/>
              <w:jc w:val="center"/>
            </w:pPr>
            <w:r>
              <w:t xml:space="preserve">1</w:t>
            </w:r>
          </w:p>
        </w:tc>
        <w:tc>
          <w:tcPr/>
          <w:p>
            <w:pPr>
              <w:pStyle w:val="Compact"/>
              <w:jc w:val="right"/>
            </w:pPr>
            <w:r>
              <w:t xml:space="preserve">18,600,000</w:t>
            </w:r>
          </w:p>
        </w:tc>
        <w:tc>
          <w:tcPr/>
          <w:p>
            <w:pPr>
              <w:pStyle w:val="Compact"/>
              <w:jc w:val="right"/>
            </w:pPr>
            <w:r>
              <w:t xml:space="preserve">18,600,000</w:t>
            </w:r>
          </w:p>
        </w:tc>
      </w:tr>
      <w:tr>
        <w:tc>
          <w:tcPr>
            <w:gridSpan w:val="4"/>
          </w:tcPr>
          <w:p>
            <w:pPr>
              <w:pStyle w:val="Compact"/>
              <w:jc w:val="left"/>
            </w:pPr>
            <w:r>
              <w:t xml:space="preserve">SUBTOTAL:</w:t>
            </w:r>
          </w:p>
        </w:tc>
        <w:tc>
          <w:tcPr/>
          <w:p>
            <w:pPr>
              <w:pStyle w:val="Compact"/>
              <w:jc w:val="right"/>
            </w:pPr>
            <w:r>
              <w:t xml:space="preserve">744,150,000</w:t>
            </w:r>
          </w:p>
        </w:tc>
      </w:tr>
      <w:tr>
        <w:tc>
          <w:tcPr>
            <w:gridSpan w:val="4"/>
          </w:tcPr>
          <w:p>
            <w:pPr>
              <w:pStyle w:val="Compact"/>
              <w:jc w:val="left"/>
            </w:pPr>
            <w:r>
              <w:t xml:space="preserve">VAT (PPN) 11%:</w:t>
            </w:r>
          </w:p>
        </w:tc>
        <w:tc>
          <w:tcPr/>
          <w:p>
            <w:pPr>
              <w:pStyle w:val="Compact"/>
              <w:jc w:val="right"/>
            </w:pPr>
            <w:r>
              <w:t xml:space="preserve">81,856,500</w:t>
            </w:r>
          </w:p>
        </w:tc>
      </w:tr>
      <w:tr>
        <w:tc>
          <w:tcPr>
            <w:gridSpan w:val="4"/>
          </w:tcPr>
          <w:p>
            <w:pPr>
              <w:pStyle w:val="Compact"/>
              <w:jc w:val="left"/>
            </w:pPr>
            <w:r>
              <w:t xml:space="preserve">GRAND TOTAL (IDR):</w:t>
            </w:r>
          </w:p>
        </w:tc>
        <w:tc>
          <w:tcPr/>
          <w:p>
            <w:pPr>
              <w:pStyle w:val="Compact"/>
              <w:jc w:val="right"/>
            </w:pPr>
            <w:r>
              <w:t xml:space="preserve">826,006,500</w:t>
            </w:r>
          </w:p>
        </w:tc>
      </w:tr>
    </w:tbl>
    <w:bookmarkEnd w:id="23"/>
    <w:bookmarkStart w:id="24" w:name="terms-and-conditions"/>
    <w:p>
      <w:pPr>
        <w:pStyle w:val="Heading2"/>
      </w:pPr>
      <w:r>
        <w:t xml:space="preserve">4. TERMS AND CONDITIONS</w:t>
      </w:r>
    </w:p>
    <w:p>
      <w:pPr>
        <w:numPr>
          <w:ilvl w:val="0"/>
          <w:numId w:val="1001"/>
        </w:numPr>
        <w:pStyle w:val="Compact"/>
      </w:pPr>
      <w:r>
        <w:t xml:space="preserve">This Purchase Order is binding upon written acceptance by both parties. The Sales Executive engagement shall commence no later than 30 days from the date of full acceptance of this Purchase Order.</w:t>
      </w:r>
    </w:p>
    <w:p>
      <w:pPr>
        <w:numPr>
          <w:ilvl w:val="0"/>
          <w:numId w:val="1001"/>
        </w:numPr>
        <w:pStyle w:val="Compact"/>
      </w:pPr>
      <w:r>
        <w:t xml:space="preserve">All payments referenced in this Purchase Order shall be processed via bank transfer to the account designated by PT Jakarta Talent Acquisition Partners. Payment terms are Net 30 days from the date of invoice issuance.</w:t>
      </w:r>
    </w:p>
    <w:p>
      <w:pPr>
        <w:numPr>
          <w:ilvl w:val="0"/>
          <w:numId w:val="1001"/>
        </w:numPr>
        <w:pStyle w:val="Compact"/>
      </w:pPr>
      <w:r>
        <w:t xml:space="preserve">The Sales Executive shall report directly to the Regional Sales Director for the Indonesia Jakarta region and shall adhere to all company policies, code of conduct, and local labor regulations applicable in Indonesia Jakarta.</w:t>
      </w:r>
    </w:p>
    <w:p>
      <w:pPr>
        <w:numPr>
          <w:ilvl w:val="0"/>
          <w:numId w:val="1001"/>
        </w:numPr>
        <w:pStyle w:val="Compact"/>
      </w:pPr>
      <w:r>
        <w:t xml:space="preserve">The Sales Executive is expected to achieve a minimum of 90% of the quarterly revenue targets as defined in the supplementary performance annex. Failure to meet targets for two consecutive quarters may result in contract review or termination as per the terms of this Purchase Order.</w:t>
      </w:r>
    </w:p>
    <w:p>
      <w:pPr>
        <w:numPr>
          <w:ilvl w:val="0"/>
          <w:numId w:val="1001"/>
        </w:numPr>
        <w:pStyle w:val="Compact"/>
      </w:pPr>
      <w:r>
        <w:t xml:space="preserve">All intellectual property, client data, and sales materials generated or accessed by the Sales Executive during the term of this Purchase Order shall remain the exclusive property of PT Nusantara Global Solutions.</w:t>
      </w:r>
    </w:p>
    <w:p>
      <w:pPr>
        <w:numPr>
          <w:ilvl w:val="0"/>
          <w:numId w:val="1001"/>
        </w:numPr>
        <w:pStyle w:val="Compact"/>
      </w:pPr>
      <w:r>
        <w:t xml:space="preserve">This Purchase Order is governed by the laws of the Republic of Indonesia. Any disputes arising from this Purchase Order shall be resolved through arbitration in Indonesia Jakarta in accordance with the rules of the Indonesian National Board of Arbitration (BANI).</w:t>
      </w:r>
    </w:p>
    <w:p>
      <w:pPr>
        <w:numPr>
          <w:ilvl w:val="0"/>
          <w:numId w:val="1001"/>
        </w:numPr>
        <w:pStyle w:val="Compact"/>
      </w:pPr>
      <w:r>
        <w:t xml:space="preserve">The Service Provider warrants that the Sales Executive candidate meets all qualifications, background checks, and professional certifications required for the role. Any misrepresentation shall void this Purchase Order and entitle the Purchasing Entity to a full refund.</w:t>
      </w:r>
    </w:p>
    <w:bookmarkEnd w:id="24"/>
    <w:bookmarkStart w:id="25" w:name="delivery-and-onboarding-schedule"/>
    <w:p>
      <w:pPr>
        <w:pStyle w:val="Heading2"/>
      </w:pPr>
      <w:r>
        <w:t xml:space="preserve">5. DELIVERY AND ONBOARDING SCHEDULE</w:t>
      </w:r>
    </w:p>
    <w:p>
      <w:pPr>
        <w:pStyle w:val="FirstParagraph"/>
      </w:pPr>
      <w:r>
        <w:t xml:space="preserve">The Sales Executive shall be fully onboarded and operational at the Indonesia Jakarta headquarters within forty-five (45) calendar days from the effective date of this Purchase Order. The onboarding process shall include a two-week orientation program, a one-week shadow period with the existing sales team in Indonesia Jakarta, and a formal integration into the CRM and reporting systems. The Service Provider shall coordinate all logistics, including work permit verification, BPJS enrollment, and office access provisioning specific to the Indonesia Jakarta facility.</w:t>
      </w:r>
    </w:p>
    <w:bookmarkEnd w:id="25"/>
    <w:bookmarkStart w:id="26" w:name="authorization-and-signatures"/>
    <w:p>
      <w:pPr>
        <w:pStyle w:val="Heading2"/>
      </w:pPr>
      <w:r>
        <w:t xml:space="preserve">6. AUTHORIZATION AND SIGNATURES</w:t>
      </w:r>
    </w:p>
    <w:p>
      <w:pPr>
        <w:pStyle w:val="FirstParagraph"/>
      </w:pPr>
      <w:r>
        <w:t xml:space="preserve">This Purchase Order is authorized and approved by the undersigned representatives of both parties. By signing below, each party acknowledges and agrees to all terms, conditions, and obligations outlined in this Purchase Order for the engagement of the Sales Executive in Indonesia Jakarta.</w:t>
      </w:r>
    </w:p>
    <w:tbl>
      <w:tblPr>
        <w:tblStyle w:val="Table"/>
        <w:tblW w:type="pct" w:w="5000"/>
        <w:tblLook w:firstRow="0" w:lastRow="0" w:firstColumn="0" w:lastColumn="0" w:noHBand="0" w:noVBand="0" w:val="0000"/>
      </w:tblPr>
      <w:tblGrid>
        <w:gridCol w:w="3960"/>
        <w:gridCol w:w="3960"/>
      </w:tblGrid>
      <w:tr>
        <w:tc>
          <w:tcPr/>
          <w:p>
            <w:pPr>
              <w:jc w:val="left"/>
            </w:pPr>
            <w:r>
              <w:rPr>
                <w:bCs/>
                <w:b/>
              </w:rPr>
              <w:t xml:space="preserve">For PT Nusantara Global Solutions (Buyer):</w:t>
            </w:r>
          </w:p>
          <w:p>
            <w:pPr>
              <w:jc w:val="left"/>
            </w:pPr>
            <w:r>
              <w:t xml:space="preserve">Name: Budi Santoso, S.E.</w:t>
            </w:r>
            <w:r>
              <w:br/>
            </w:r>
            <w:r>
              <w:t xml:space="preserve">Title: Head of Procurement</w:t>
            </w:r>
            <w:r>
              <w:br/>
            </w:r>
            <w:r>
              <w:t xml:space="preserve">Date: _______________</w:t>
            </w:r>
          </w:p>
        </w:tc>
        <w:tc>
          <w:tcPr/>
          <w:p>
            <w:pPr>
              <w:jc w:val="left"/>
            </w:pPr>
            <w:r>
              <w:rPr>
                <w:bCs/>
                <w:b/>
              </w:rPr>
              <w:t xml:space="preserve">For PT Jakarta Talent Acquisition Partners (Seller):</w:t>
            </w:r>
          </w:p>
          <w:p>
            <w:pPr>
              <w:jc w:val="left"/>
            </w:pPr>
            <w:r>
              <w:t xml:space="preserve">Name: Dewi Lestari, M.M.</w:t>
            </w:r>
            <w:r>
              <w:br/>
            </w:r>
            <w:r>
              <w:t xml:space="preserve">Title: Director of Contracts</w:t>
            </w:r>
            <w:r>
              <w:br/>
            </w:r>
            <w:r>
              <w:t xml:space="preserve">Date: _______________</w:t>
            </w:r>
          </w:p>
        </w:tc>
      </w:tr>
    </w:tbl>
    <w:bookmarkEnd w:id="26"/>
    <w:p>
      <w:pPr>
        <w:pStyle w:val="BodyText"/>
      </w:pPr>
      <w:r>
        <w:t xml:space="preserve">This Purchase Order (PO-JKT-SE-2025-0047) is a controlled document. Unauthorized reproduction or distribution is prohibited. For inquiries regarding this Purchase Order, the Sales Executive engagement, or any matter pertaining to the Indonesia Jakarta office, please contact the Procurement Department at procurement@nusantaraglobal.co.id or visit our Indonesia Jakarta headquarters at Jl. Jend. Sudirman Kav. 52-53, SCBD District, Jakarta Selatan 12190.</w:t>
      </w:r>
    </w:p>
    <w:p>
      <w:pPr>
        <w:pStyle w:val="BodyText"/>
      </w:pPr>
      <w:r>
        <w:t xml:space="preserve">Document Version: 1.0 | Classification: Confidential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Sales Executive - Indonesia Jakarta</dc:title>
  <dc:creator/>
  <dc:language>en</dc:language>
  <cp:keywords/>
  <dcterms:created xsi:type="dcterms:W3CDTF">2026-10-10T07:02:27Z</dcterms:created>
  <dcterms:modified xsi:type="dcterms:W3CDTF">2026-10-10T07:02:27Z</dcterms:modified>
</cp:coreProperties>
</file>

<file path=docProps/custom.xml><?xml version="1.0" encoding="utf-8"?>
<Properties xmlns="http://schemas.openxmlformats.org/officeDocument/2006/custom-properties" xmlns:vt="http://schemas.openxmlformats.org/officeDocument/2006/docPropsVTypes"/>
</file>