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rPr>
          <w:bCs/>
          <w:b/>
        </w:rPr>
        <w:t xml:space="preserve">Van der Berg &amp; Partners B.V.</w:t>
      </w:r>
    </w:p>
    <w:p>
      <w:pPr>
        <w:pStyle w:val="BodyText"/>
      </w:pPr>
      <w:r>
        <w:t xml:space="preserve">Keizersgracht 412, 1016 GC Amsterdam, Netherlands</w:t>
      </w:r>
    </w:p>
    <w:p>
      <w:pPr>
        <w:pStyle w:val="BodyText"/>
      </w:pPr>
      <w:r>
        <w:t xml:space="preserve">KvK: 34567890 | VAT: NL861234567B01 | Tel: +31 20 555 0142</w:t>
      </w:r>
    </w:p>
    <w:p>
      <w:pPr>
        <w:pStyle w:val="BodyText"/>
      </w:pPr>
      <w:r>
        <w:t xml:space="preserve">Email: procurement@vanderbergpartners.nl</w:t>
      </w:r>
    </w:p>
    <w:bookmarkEnd w:id="20"/>
    <w:p>
      <w:pPr>
        <w:pStyle w:val="BodyText"/>
      </w:pPr>
      <w:r>
        <w:rPr>
          <w:bCs/>
          <w:b/>
        </w:rPr>
        <w:t xml:space="preserve">Purchase Order No.:</w:t>
      </w:r>
      <w:r>
        <w:t xml:space="preserve"> </w:t>
      </w:r>
      <w:r>
        <w:t xml:space="preserve">PO-2025-AM-00472</w:t>
      </w:r>
    </w:p>
    <w:p>
      <w:pPr>
        <w:pStyle w:val="BodyText"/>
      </w:pPr>
      <w:r>
        <w:rPr>
          <w:bCs/>
          <w:b/>
        </w:rPr>
        <w:t xml:space="preserve">Date of Issue:</w:t>
      </w:r>
      <w:r>
        <w:t xml:space="preserve"> </w:t>
      </w:r>
      <w:r>
        <w:t xml:space="preserve">14 June 2025</w:t>
      </w:r>
    </w:p>
    <w:p>
      <w:pPr>
        <w:pStyle w:val="BodyText"/>
      </w:pPr>
      <w:r>
        <w:rPr>
          <w:bCs/>
          <w:b/>
        </w:rPr>
        <w:t xml:space="preserve">Required Start Date:</w:t>
      </w:r>
      <w:r>
        <w:t xml:space="preserve"> </w:t>
      </w:r>
      <w:r>
        <w:t xml:space="preserve">01 September 2025</w:t>
      </w:r>
    </w:p>
    <w:p>
      <w:pPr>
        <w:pStyle w:val="BodyText"/>
      </w:pPr>
      <w:r>
        <w:rPr>
          <w:bCs/>
          <w:b/>
        </w:rPr>
        <w:t xml:space="preserve">Contract Duration:</w:t>
      </w:r>
      <w:r>
        <w:t xml:space="preserve"> </w:t>
      </w:r>
      <w:r>
        <w:t xml:space="preserve">24 months (renewable)</w:t>
      </w:r>
    </w:p>
    <w:p>
      <w:pPr>
        <w:pStyle w:val="BodyText"/>
      </w:pPr>
      <w:r>
        <w:rPr>
          <w:bCs/>
          <w:b/>
        </w:rPr>
        <w:t xml:space="preserve">Department:</w:t>
      </w:r>
      <w:r>
        <w:t xml:space="preserve"> </w:t>
      </w:r>
      <w:r>
        <w:t xml:space="preserve">Commercial Operations</w:t>
      </w:r>
    </w:p>
    <w:p>
      <w:pPr>
        <w:pStyle w:val="BodyText"/>
      </w:pPr>
      <w:r>
        <w:rPr>
          <w:bCs/>
          <w:b/>
        </w:rPr>
        <w:t xml:space="preserve">Cost Centre:</w:t>
      </w:r>
      <w:r>
        <w:t xml:space="preserve"> </w:t>
      </w:r>
      <w:r>
        <w:t xml:space="preserve">CC-AM-2025-017</w:t>
      </w:r>
    </w:p>
    <w:p>
      <w:pPr>
        <w:pStyle w:val="BodyText"/>
      </w:pPr>
      <w:r>
        <w:rPr>
          <w:bCs/>
          <w:b/>
        </w:rPr>
        <w:t xml:space="preserve">Location:</w:t>
      </w:r>
      <w:r>
        <w:t xml:space="preserve"> </w:t>
      </w:r>
      <w:r>
        <w:t xml:space="preserve">Netherlands Amsterdam</w:t>
      </w:r>
    </w:p>
    <w:p>
      <w:pPr>
        <w:pStyle w:val="BodyText"/>
      </w:pPr>
      <w:r>
        <w:rPr>
          <w:bCs/>
          <w:b/>
        </w:rPr>
        <w:t xml:space="preserve">Priority:</w:t>
      </w:r>
      <w:r>
        <w:t xml:space="preserve"> </w:t>
      </w:r>
      <w:r>
        <w:t xml:space="preserve">HIGH</w:t>
      </w:r>
    </w:p>
    <w:p>
      <w:pPr>
        <w:pStyle w:val="BodyText"/>
      </w:pPr>
      <w:r>
        <w:t xml:space="preserve">Supplier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TalentBridge Recruitment Solutions B.V.</w:t>
            </w:r>
          </w:p>
        </w:tc>
      </w:tr>
      <w:tr>
        <w:tc>
          <w:tcPr/>
          <w:p>
            <w:pPr>
              <w:pStyle w:val="Compact"/>
              <w:jc w:val="left"/>
            </w:pPr>
            <w:r>
              <w:rPr>
                <w:bCs/>
                <w:b/>
              </w:rPr>
              <w:t xml:space="preserve">Address:</w:t>
            </w:r>
          </w:p>
        </w:tc>
        <w:tc>
          <w:tcPr/>
          <w:p>
            <w:pPr>
              <w:pStyle w:val="Compact"/>
              <w:jc w:val="left"/>
            </w:pPr>
            <w:r>
              <w:t xml:space="preserve">Herengracht 285, 1017 CA Amsterdam, Netherlands</w:t>
            </w:r>
          </w:p>
        </w:tc>
      </w:tr>
      <w:tr>
        <w:tc>
          <w:tcPr/>
          <w:p>
            <w:pPr>
              <w:pStyle w:val="Compact"/>
              <w:jc w:val="left"/>
            </w:pPr>
            <w:r>
              <w:rPr>
                <w:bCs/>
                <w:b/>
              </w:rPr>
              <w:t xml:space="preserve">Contact Person:</w:t>
            </w:r>
          </w:p>
        </w:tc>
        <w:tc>
          <w:tcPr/>
          <w:p>
            <w:pPr>
              <w:pStyle w:val="Compact"/>
              <w:jc w:val="left"/>
            </w:pPr>
            <w:r>
              <w:t xml:space="preserve">Ms. Annelies de Vries – Senior Account Manager</w:t>
            </w:r>
          </w:p>
        </w:tc>
      </w:tr>
      <w:tr>
        <w:tc>
          <w:tcPr/>
          <w:p>
            <w:pPr>
              <w:pStyle w:val="Compact"/>
              <w:jc w:val="left"/>
            </w:pPr>
            <w:r>
              <w:rPr>
                <w:bCs/>
                <w:b/>
              </w:rPr>
              <w:t xml:space="preserve">Email:</w:t>
            </w:r>
          </w:p>
        </w:tc>
        <w:tc>
          <w:tcPr/>
          <w:p>
            <w:pPr>
              <w:pStyle w:val="Compact"/>
              <w:jc w:val="left"/>
            </w:pPr>
            <w:r>
              <w:t xml:space="preserve">a.devries@talentbridge.nl</w:t>
            </w:r>
          </w:p>
        </w:tc>
      </w:tr>
      <w:tr>
        <w:tc>
          <w:tcPr/>
          <w:p>
            <w:pPr>
              <w:pStyle w:val="Compact"/>
              <w:jc w:val="left"/>
            </w:pPr>
            <w:r>
              <w:rPr>
                <w:bCs/>
                <w:b/>
              </w:rPr>
              <w:t xml:space="preserve">VAT Number:</w:t>
            </w:r>
          </w:p>
        </w:tc>
        <w:tc>
          <w:tcPr/>
          <w:p>
            <w:pPr>
              <w:pStyle w:val="Compact"/>
              <w:jc w:val="left"/>
            </w:pPr>
            <w:r>
              <w:t xml:space="preserve">NL872345678B01</w:t>
            </w:r>
          </w:p>
        </w:tc>
      </w:tr>
    </w:tbl>
    <w:p>
      <w:pPr>
        <w:pStyle w:val="BodyText"/>
      </w:pPr>
      <w:r>
        <w:t xml:space="preserve">Line Items – Procurement of Sales Executive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Recruitment and placement of a Senior Sales Executive for the Netherlands Amsterdam office. The Sales Executive shall be responsible for identifying, developing, and closing commercial opportunities within the Benelux region. The candidate must demonstrate a minimum of five (5) years of proven experience in B2B sales, with a particular focus on the Dutch and broader European market. The Sales Executive will report directly to the Regional Director, Amsterdam, and will be based at the Keizersgracht 412 office in the Netherlands Amsterdam district.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€ 85,000.00</w:t>
            </w:r>
          </w:p>
        </w:tc>
        <w:tc>
          <w:tcPr/>
          <w:p>
            <w:pPr>
              <w:pStyle w:val="Compact"/>
              <w:jc w:val="left"/>
            </w:pPr>
            <w:r>
              <w:t xml:space="preserve">€ 85,000.00</w:t>
            </w:r>
          </w:p>
        </w:tc>
      </w:tr>
      <w:tr>
        <w:tc>
          <w:tcPr/>
          <w:p>
            <w:pPr>
              <w:pStyle w:val="Compact"/>
              <w:jc w:val="left"/>
            </w:pPr>
            <w:r>
              <w:t xml:space="preserve">02</w:t>
            </w:r>
          </w:p>
        </w:tc>
        <w:tc>
          <w:tcPr/>
          <w:p>
            <w:pPr>
              <w:pStyle w:val="Compact"/>
              <w:jc w:val="left"/>
            </w:pPr>
            <w:r>
              <w:t xml:space="preserve">Onboarding, integration, and compliance support for the Sales Executive in accordance with Dutch employment law (Wet arbeidsomstandigheden) and local Netherlands Amsterdam municipal regulations. This includes registration with the Dutch Chamber of Commerce (Kamer van Koophandel), social security enrolment (SVB), and provision of a standard Dutch employment contract (arbeidsovereenkomst).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€ 4,200.00</w:t>
            </w:r>
          </w:p>
        </w:tc>
        <w:tc>
          <w:tcPr/>
          <w:p>
            <w:pPr>
              <w:pStyle w:val="Compact"/>
              <w:jc w:val="left"/>
            </w:pPr>
            <w:r>
              <w:t xml:space="preserve">€ 4,200.00</w:t>
            </w:r>
          </w:p>
        </w:tc>
      </w:tr>
      <w:tr>
        <w:tc>
          <w:tcPr/>
          <w:p>
            <w:pPr>
              <w:pStyle w:val="Compact"/>
              <w:jc w:val="left"/>
            </w:pPr>
            <w:r>
              <w:t xml:space="preserve">03</w:t>
            </w:r>
          </w:p>
        </w:tc>
        <w:tc>
          <w:tcPr/>
          <w:p>
            <w:pPr>
              <w:pStyle w:val="Compact"/>
              <w:jc w:val="left"/>
            </w:pPr>
            <w:r>
              <w:t xml:space="preserve">Quarterly performance review and coaching programme for the Sales Executive over the first 12 months of employment. The programme shall include two (2) in-person coaching sessions per quarter conducted in the Netherlands Amsterdam office, plus remote check-ins. The objective is to ensure the Sales Executive meets or exceeds the annual revenue target of € 1.2 million in qualified pipeline and € 850,000 in closed-won deals.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€ 3,500.00</w:t>
            </w:r>
          </w:p>
        </w:tc>
        <w:tc>
          <w:tcPr/>
          <w:p>
            <w:pPr>
              <w:pStyle w:val="Compact"/>
              <w:jc w:val="left"/>
            </w:pPr>
            <w:r>
              <w:t xml:space="preserve">€ 14,000.00</w:t>
            </w:r>
          </w:p>
        </w:tc>
      </w:tr>
      <w:tr>
        <w:tc>
          <w:tcPr/>
          <w:p>
            <w:pPr>
              <w:pStyle w:val="Compact"/>
              <w:jc w:val="left"/>
            </w:pPr>
            <w:r>
              <w:t xml:space="preserve">04</w:t>
            </w:r>
          </w:p>
        </w:tc>
        <w:tc>
          <w:tcPr/>
          <w:p>
            <w:pPr>
              <w:pStyle w:val="Compact"/>
              <w:jc w:val="left"/>
            </w:pPr>
            <w:r>
              <w:t xml:space="preserve">Annual professional development and certification budget for the Sales Executive, including attendance at industry conferences in Amsterdam and the broader Netherlands, CRM software training (Salesforce), and advanced negotiation workshops. This ensures the Sales Executive remains competitive in the fast-evolving Netherlands Amsterdam commercial landscape.</w:t>
            </w:r>
          </w:p>
        </w:tc>
        <w:tc>
          <w:tcPr/>
          <w:p>
            <w:pPr>
              <w:pStyle w:val="Compact"/>
              <w:jc w:val="left"/>
            </w:pPr>
            <w:r>
              <w:t xml:space="preserve">2</w:t>
            </w:r>
          </w:p>
        </w:tc>
        <w:tc>
          <w:tcPr/>
          <w:p>
            <w:pPr>
              <w:pStyle w:val="Compact"/>
              <w:jc w:val="left"/>
            </w:pPr>
            <w:r>
              <w:t xml:space="preserve">Years</w:t>
            </w:r>
          </w:p>
        </w:tc>
        <w:tc>
          <w:tcPr/>
          <w:p>
            <w:pPr>
              <w:pStyle w:val="Compact"/>
              <w:jc w:val="left"/>
            </w:pPr>
            <w:r>
              <w:t xml:space="preserve">€ 5,000.00</w:t>
            </w:r>
          </w:p>
        </w:tc>
        <w:tc>
          <w:tcPr/>
          <w:p>
            <w:pPr>
              <w:pStyle w:val="Compact"/>
              <w:jc w:val="left"/>
            </w:pPr>
            <w:r>
              <w:t xml:space="preserve">€ 10,000.00</w:t>
            </w:r>
          </w:p>
        </w:tc>
      </w:tr>
      <w:tr>
        <w:tc>
          <w:tcPr/>
          <w:p>
            <w:pPr>
              <w:pStyle w:val="Compact"/>
              <w:jc w:val="left"/>
            </w:pPr>
            <w:r>
              <w:t xml:space="preserve">05</w:t>
            </w:r>
          </w:p>
        </w:tc>
        <w:tc>
          <w:tcPr/>
          <w:p>
            <w:pPr>
              <w:pStyle w:val="Compact"/>
              <w:jc w:val="left"/>
            </w:pPr>
            <w:r>
              <w:t xml:space="preserve">Guarantee and replacement clause: In the event the Sales Executive resigns or is terminated for cause within the first six (6) months of the commencement date, the supplier shall provide a replacement Sales Executive at no additional cost. The replacement must meet the same qualification criteria as specified in this Purchase Order.</w:t>
            </w:r>
          </w:p>
        </w:tc>
        <w:tc>
          <w:tcPr/>
          <w:p>
            <w:pPr>
              <w:pStyle w:val="Compact"/>
              <w:jc w:val="left"/>
            </w:pPr>
            <w:r>
              <w:t xml:space="preserve">1</w:t>
            </w:r>
          </w:p>
        </w:tc>
        <w:tc>
          <w:tcPr/>
          <w:p>
            <w:pPr>
              <w:pStyle w:val="Compact"/>
              <w:jc w:val="left"/>
            </w:pPr>
            <w:r>
              <w:t xml:space="preserve">Clause</w:t>
            </w:r>
          </w:p>
        </w:tc>
        <w:tc>
          <w:tcPr/>
          <w:p>
            <w:pPr>
              <w:pStyle w:val="Compact"/>
              <w:jc w:val="left"/>
            </w:pPr>
            <w:r>
              <w:t xml:space="preserve">€ 0.00</w:t>
            </w:r>
          </w:p>
        </w:tc>
        <w:tc>
          <w:tcPr/>
          <w:p>
            <w:pPr>
              <w:pStyle w:val="Compact"/>
              <w:jc w:val="left"/>
            </w:pPr>
            <w:r>
              <w:t xml:space="preserve">€ 0.00</w:t>
            </w:r>
          </w:p>
        </w:tc>
      </w:tr>
      <w:tr>
        <w:tc>
          <w:tcPr>
            <w:gridSpan w:val="5"/>
          </w:tcPr>
          <w:p>
            <w:pPr>
              <w:pStyle w:val="Compact"/>
              <w:jc w:val="right"/>
            </w:pPr>
            <w:r>
              <w:t xml:space="preserve">Subtotal</w:t>
            </w:r>
          </w:p>
        </w:tc>
        <w:tc>
          <w:tcPr/>
          <w:p>
            <w:pPr>
              <w:pStyle w:val="Compact"/>
              <w:jc w:val="left"/>
            </w:pPr>
            <w:r>
              <w:t xml:space="preserve">€ 113,200.00</w:t>
            </w:r>
          </w:p>
        </w:tc>
      </w:tr>
      <w:tr>
        <w:tc>
          <w:tcPr>
            <w:gridSpan w:val="5"/>
          </w:tcPr>
          <w:p>
            <w:pPr>
              <w:pStyle w:val="Compact"/>
              <w:jc w:val="right"/>
            </w:pPr>
            <w:r>
              <w:t xml:space="preserve">VAT (21% – Netherlands)</w:t>
            </w:r>
          </w:p>
        </w:tc>
        <w:tc>
          <w:tcPr/>
          <w:p>
            <w:pPr>
              <w:pStyle w:val="Compact"/>
              <w:jc w:val="left"/>
            </w:pPr>
            <w:r>
              <w:t xml:space="preserve">€ 23,772.00</w:t>
            </w:r>
          </w:p>
        </w:tc>
      </w:tr>
      <w:tr>
        <w:tc>
          <w:tcPr>
            <w:gridSpan w:val="5"/>
          </w:tcPr>
          <w:p>
            <w:pPr>
              <w:pStyle w:val="Compact"/>
              <w:jc w:val="right"/>
            </w:pPr>
            <w:r>
              <w:t xml:space="preserve">TOTAL AMOUNT DUE</w:t>
            </w:r>
          </w:p>
        </w:tc>
        <w:tc>
          <w:tcPr/>
          <w:p>
            <w:pPr>
              <w:pStyle w:val="Compact"/>
              <w:jc w:val="left"/>
            </w:pPr>
            <w:r>
              <w:t xml:space="preserve">€ 136,972.00</w:t>
            </w:r>
          </w:p>
        </w:tc>
      </w:tr>
    </w:tbl>
    <w:p>
      <w:pPr>
        <w:pStyle w:val="BodyText"/>
      </w:pPr>
      <w:r>
        <w:t xml:space="preserve">Terms and Conditions</w:t>
      </w:r>
    </w:p>
    <w:p>
      <w:pPr>
        <w:numPr>
          <w:ilvl w:val="0"/>
          <w:numId w:val="1001"/>
        </w:numPr>
        <w:pStyle w:val="Compact"/>
      </w:pPr>
      <w:r>
        <w:t xml:space="preserve">This Purchase Order constitutes a binding agreement between Van der Berg &amp; Partners B.V. (hereinafter "the Buyer") and TalentBridge Recruitment Solutions B.V. (hereinafter "the Supplier") for the procurement of a Sales Executive and associated services in the Netherlands Amsterdam region.</w:t>
      </w:r>
    </w:p>
    <w:p>
      <w:pPr>
        <w:numPr>
          <w:ilvl w:val="0"/>
          <w:numId w:val="1001"/>
        </w:numPr>
        <w:pStyle w:val="Compact"/>
      </w:pPr>
      <w:r>
        <w:t xml:space="preserve">The Sales Executive shall commence duties no later than 01 September 2025 at the Buyer's premises located at Keizersgracht 412, 1016 GC Amsterdam, Netherlands. Failure to meet this commencement date shall entitle the Buyer to a penalty of € 500 per calendar day of delay, up to a maximum of € 10,000.</w:t>
      </w:r>
    </w:p>
    <w:p>
      <w:pPr>
        <w:numPr>
          <w:ilvl w:val="0"/>
          <w:numId w:val="1001"/>
        </w:numPr>
        <w:pStyle w:val="Compact"/>
      </w:pPr>
      <w:r>
        <w:t xml:space="preserve">All employment terms for the Sales Executive shall comply with the Dutch Civil Code (Burgerlijk Wetboek), the Working Hours Act (Wet arbeidsomstandigheden), and all applicable Netherlands Amsterdam municipal and provincial regulations. The Supplier warrants that the Sales Executive will be employed under a standard Dutch indefinite-term contract (onbepaalde duur) after a probationary period of three (3) months.</w:t>
      </w:r>
    </w:p>
    <w:p>
      <w:pPr>
        <w:numPr>
          <w:ilvl w:val="0"/>
          <w:numId w:val="1001"/>
        </w:numPr>
        <w:pStyle w:val="Compact"/>
      </w:pPr>
      <w:r>
        <w:t xml:space="preserve">Payment terms: 50% of the total Purchase Order value shall be due within thirty (30) days of the Sales Executive's successful commencement date. The remaining 50% shall be due within thirty (30) days of the completion of the first full quarter of employment, subject to satisfactory performance metrics as defined in the Buyer's internal KPI framework.</w:t>
      </w:r>
    </w:p>
    <w:p>
      <w:pPr>
        <w:numPr>
          <w:ilvl w:val="0"/>
          <w:numId w:val="1001"/>
        </w:numPr>
        <w:pStyle w:val="Compact"/>
      </w:pPr>
      <w:r>
        <w:t xml:space="preserve">The Sales Executive shall be required to work a minimum of 38 hours per week, in accordance with Dutch labour standards. Overtime, where applicable, shall be compensated in accordance with the Collective Labour Agreement (CAO) for the Dutch commercial sector.</w:t>
      </w:r>
    </w:p>
    <w:p>
      <w:pPr>
        <w:numPr>
          <w:ilvl w:val="0"/>
          <w:numId w:val="1001"/>
        </w:numPr>
        <w:pStyle w:val="Compact"/>
      </w:pPr>
      <w:r>
        <w:t xml:space="preserve">Confidentiality: The Supplier and the Sales Executive shall maintain strict confidentiality regarding the Buyer's client lists, pricing structures, commercial strategies, and all proprietary information encountered during the course of employment in the Netherlands Amsterdam office. A Non-Disclosure Agreement (NDA) shall be executed prior to the commencement date.</w:t>
      </w:r>
    </w:p>
    <w:p>
      <w:pPr>
        <w:numPr>
          <w:ilvl w:val="0"/>
          <w:numId w:val="1001"/>
        </w:numPr>
        <w:pStyle w:val="Compact"/>
      </w:pPr>
      <w:r>
        <w:t xml:space="preserve">Termination: Either party may terminate this Purchase Order with a written notice period of sixty (60) days. In the event of termination by the Buyer without cause after the probationary period, the Supplier shall be entitled to 50% of the remaining contract value as compensation.</w:t>
      </w:r>
    </w:p>
    <w:p>
      <w:pPr>
        <w:numPr>
          <w:ilvl w:val="0"/>
          <w:numId w:val="1001"/>
        </w:numPr>
        <w:pStyle w:val="Compact"/>
      </w:pPr>
      <w:r>
        <w:t xml:space="preserve">Governing Law: This Purchase Order shall be governed by and construed in accordance with the laws of the Netherlands. Any disputes arising from this Purchase Order shall be subject to the exclusive jurisdiction of the District Court of Amsterdam (Rechtbank Amsterdam), located in the Netherlands Amsterdam judicial district.</w:t>
      </w:r>
    </w:p>
    <w:p>
      <w:pPr>
        <w:numPr>
          <w:ilvl w:val="0"/>
          <w:numId w:val="1001"/>
        </w:numPr>
        <w:pStyle w:val="Compact"/>
      </w:pPr>
      <w:r>
        <w:t xml:space="preserve">This Purchase Order is valid for acceptance within fourteen (14) calendar days of the date of issue. Acceptance beyond this period shall require written re-confirmation from the Buyer's procurement department.</w:t>
      </w:r>
    </w:p>
    <w:p>
      <w:pPr>
        <w:pStyle w:val="FirstParagraph"/>
      </w:pPr>
      <w:r>
        <w:t xml:space="preserve">Approval and Signatures</w:t>
      </w:r>
    </w:p>
    <w:p>
      <w:pPr>
        <w:pStyle w:val="BodyText"/>
      </w:pPr>
      <w:r>
        <w:rPr>
          <w:bCs/>
          <w:b/>
        </w:rPr>
        <w:t xml:space="preserve">For and on behalf of the Buyer:</w:t>
      </w:r>
    </w:p>
    <w:p>
      <w:pPr>
        <w:pStyle w:val="BodyText"/>
      </w:pPr>
      <w:r>
        <w:t xml:space="preserve">Van der Berg &amp; Partners B.V.</w:t>
      </w:r>
    </w:p>
    <w:p>
      <w:pPr>
        <w:pStyle w:val="BodyText"/>
      </w:pPr>
      <w:r>
        <w:t xml:space="preserve">Name: Mr. Jeroen van der Berg</w:t>
      </w:r>
    </w:p>
    <w:p>
      <w:pPr>
        <w:pStyle w:val="BodyText"/>
      </w:pPr>
      <w:r>
        <w:t xml:space="preserve">Title: Chief Financial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TalentBridge Recruitment Solutions B.V.</w:t>
      </w:r>
    </w:p>
    <w:p>
      <w:pPr>
        <w:pStyle w:val="BodyText"/>
      </w:pPr>
      <w:r>
        <w:t xml:space="preserve">Name: Ms. Annelies de Vries</w:t>
      </w:r>
    </w:p>
    <w:p>
      <w:pPr>
        <w:pStyle w:val="BodyText"/>
      </w:pPr>
      <w:r>
        <w:t xml:space="preserve">Title: Senior Account Manager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(PO-2025-AM-00472) was issued by Van der Berg &amp; Partners B.V., Amsterdam, Netherlands. All references to the Sales Executive role and the Netherlands Amsterdam location are integral to the scope of this procurement. This document is confidential and intended solely for the named parties. Unauthorized reproduction or distribution is prohibited under Dutch copyright law (Auteurswet).</w:t>
      </w:r>
    </w:p>
    <w:p>
      <w:pPr>
        <w:pStyle w:val="BodyText"/>
      </w:pPr>
      <w:r>
        <w:t xml:space="preserve">Document Version: 1.0 | Generated: 14 June 2025 |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Netherlands Amsterdam</dc:title>
  <dc:creator/>
  <dc:language>en</dc:language>
  <cp:keywords/>
  <dcterms:created xsi:type="dcterms:W3CDTF">2026-10-10T04:08:45Z</dcterms:created>
  <dcterms:modified xsi:type="dcterms:W3CDTF">2026-10-10T04:08:45Z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