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Corporate Social Responsibility &amp; Community Development Division</w:t>
      </w:r>
    </w:p>
    <w:p>
      <w:pPr>
        <w:pStyle w:val="BodyText"/>
      </w:pPr>
      <w:r>
        <w:t xml:space="preserve">PO No.: PL-2025-SW-0047</w:t>
      </w:r>
    </w:p>
    <w:p>
      <w:pPr>
        <w:pStyle w:val="BodyText"/>
      </w:pPr>
      <w:r>
        <w:t xml:space="preserve">Date of Issue: June 15, 2025</w:t>
      </w:r>
    </w:p>
    <w:p>
      <w:pPr>
        <w:pStyle w:val="BodyText"/>
      </w:pPr>
      <w:r>
        <w:t xml:space="preserve">Valid Until: July 15, 2025</w:t>
      </w:r>
    </w:p>
    <w:bookmarkEnd w:id="20"/>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Grupo Andino de Desarrollo Social S.A.C.</w:t>
            </w:r>
          </w:p>
        </w:tc>
      </w:tr>
      <w:tr>
        <w:tc>
          <w:tcPr/>
          <w:p>
            <w:pPr>
              <w:pStyle w:val="Compact"/>
              <w:jc w:val="left"/>
            </w:pPr>
            <w:r>
              <w:t xml:space="preserve">RUC (Tax ID)</w:t>
            </w:r>
          </w:p>
        </w:tc>
        <w:tc>
          <w:tcPr/>
          <w:p>
            <w:pPr>
              <w:pStyle w:val="Compact"/>
              <w:jc w:val="left"/>
            </w:pPr>
            <w:r>
              <w:t xml:space="preserve">20601234567</w:t>
            </w:r>
          </w:p>
        </w:tc>
      </w:tr>
      <w:tr>
        <w:tc>
          <w:tcPr/>
          <w:p>
            <w:pPr>
              <w:pStyle w:val="Compact"/>
              <w:jc w:val="left"/>
            </w:pPr>
            <w:r>
              <w:t xml:space="preserve">Address</w:t>
            </w:r>
          </w:p>
        </w:tc>
        <w:tc>
          <w:tcPr/>
          <w:p>
            <w:pPr>
              <w:pStyle w:val="Compact"/>
              <w:jc w:val="left"/>
            </w:pPr>
            <w:r>
              <w:t xml:space="preserve">Av. Javier Prado Este 1250, Of. 804, San Isidro,</w:t>
            </w:r>
            <w:r>
              <w:t xml:space="preserve"> </w:t>
            </w:r>
            <w:r>
              <w:t xml:space="preserve">Peru Lima</w:t>
            </w:r>
            <w:r>
              <w:t xml:space="preserve">, 15075</w:t>
            </w:r>
          </w:p>
        </w:tc>
      </w:tr>
      <w:tr>
        <w:tc>
          <w:tcPr/>
          <w:p>
            <w:pPr>
              <w:pStyle w:val="Compact"/>
              <w:jc w:val="left"/>
            </w:pPr>
            <w:r>
              <w:t xml:space="preserve">Contact Person</w:t>
            </w:r>
          </w:p>
        </w:tc>
        <w:tc>
          <w:tcPr/>
          <w:p>
            <w:pPr>
              <w:pStyle w:val="Compact"/>
              <w:jc w:val="left"/>
            </w:pPr>
            <w:r>
              <w:t xml:space="preserve">Ing. María Fernanda Quispe Rojas – Director of Corporate Social Responsibility</w:t>
            </w:r>
          </w:p>
        </w:tc>
      </w:tr>
      <w:tr>
        <w:tc>
          <w:tcPr/>
          <w:p>
            <w:pPr>
              <w:pStyle w:val="Compact"/>
              <w:jc w:val="left"/>
            </w:pPr>
            <w:r>
              <w:t xml:space="preserve">Email</w:t>
            </w:r>
          </w:p>
        </w:tc>
        <w:tc>
          <w:tcPr/>
          <w:p>
            <w:pPr>
              <w:pStyle w:val="Compact"/>
              <w:jc w:val="left"/>
            </w:pPr>
            <w:r>
              <w:t xml:space="preserve">mquispe@grupoandino.pe</w:t>
            </w:r>
          </w:p>
        </w:tc>
      </w:tr>
      <w:tr>
        <w:tc>
          <w:tcPr/>
          <w:p>
            <w:pPr>
              <w:pStyle w:val="Compact"/>
              <w:jc w:val="left"/>
            </w:pPr>
            <w:r>
              <w:t xml:space="preserve">Phone</w:t>
            </w:r>
          </w:p>
        </w:tc>
        <w:tc>
          <w:tcPr/>
          <w:p>
            <w:pPr>
              <w:pStyle w:val="Compact"/>
              <w:jc w:val="left"/>
            </w:pPr>
            <w:r>
              <w:t xml:space="preserve">+51 1 456 7890</w:t>
            </w:r>
          </w:p>
        </w:tc>
      </w:tr>
    </w:tbl>
    <w:bookmarkEnd w:id="21"/>
    <w:bookmarkStart w:id="22" w:name="service-provider-seller"/>
    <w:p>
      <w:pPr>
        <w:pStyle w:val="Heading2"/>
      </w:pPr>
      <w:r>
        <w:t xml:space="preserve">2.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Lic. Carlos Alberto Mendoza Huamán</w:t>
            </w:r>
          </w:p>
        </w:tc>
      </w:tr>
      <w:tr>
        <w:tc>
          <w:tcPr/>
          <w:p>
            <w:pPr>
              <w:pStyle w:val="Compact"/>
              <w:jc w:val="left"/>
            </w:pPr>
            <w:r>
              <w:t xml:space="preserve">Professional Title</w:t>
            </w:r>
          </w:p>
        </w:tc>
        <w:tc>
          <w:tcPr/>
          <w:p>
            <w:pPr>
              <w:pStyle w:val="Compact"/>
              <w:jc w:val="left"/>
            </w:pPr>
            <w:r>
              <w:t xml:space="preserve">Social Worker</w:t>
            </w:r>
            <w:r>
              <w:t xml:space="preserve"> </w:t>
            </w:r>
            <w:r>
              <w:t xml:space="preserve">– Licensed by the Colegio de Trabajadores Sociales del Perú (CTSP), License No. 4521-2019</w:t>
            </w:r>
          </w:p>
        </w:tc>
      </w:tr>
      <w:tr>
        <w:tc>
          <w:tcPr/>
          <w:p>
            <w:pPr>
              <w:pStyle w:val="Compact"/>
              <w:jc w:val="left"/>
            </w:pPr>
            <w:r>
              <w:t xml:space="preserve">DNI (National ID)</w:t>
            </w:r>
          </w:p>
        </w:tc>
        <w:tc>
          <w:tcPr/>
          <w:p>
            <w:pPr>
              <w:pStyle w:val="Compact"/>
              <w:jc w:val="left"/>
            </w:pPr>
            <w:r>
              <w:t xml:space="preserve">45678912</w:t>
            </w:r>
          </w:p>
        </w:tc>
      </w:tr>
      <w:tr>
        <w:tc>
          <w:tcPr/>
          <w:p>
            <w:pPr>
              <w:pStyle w:val="Compact"/>
              <w:jc w:val="left"/>
            </w:pPr>
            <w:r>
              <w:t xml:space="preserve">Professional Address</w:t>
            </w:r>
          </w:p>
        </w:tc>
        <w:tc>
          <w:tcPr/>
          <w:p>
            <w:pPr>
              <w:pStyle w:val="Compact"/>
              <w:jc w:val="left"/>
            </w:pPr>
            <w:r>
              <w:t xml:space="preserve">Jr. Las Begonias 342, Miraflores,</w:t>
            </w:r>
            <w:r>
              <w:t xml:space="preserve"> </w:t>
            </w:r>
            <w:r>
              <w:t xml:space="preserve">Peru Lima</w:t>
            </w:r>
            <w:r>
              <w:t xml:space="preserve">, 15076</w:t>
            </w:r>
          </w:p>
        </w:tc>
      </w:tr>
      <w:tr>
        <w:tc>
          <w:tcPr/>
          <w:p>
            <w:pPr>
              <w:pStyle w:val="Compact"/>
              <w:jc w:val="left"/>
            </w:pPr>
            <w:r>
              <w:t xml:space="preserve">Email</w:t>
            </w:r>
          </w:p>
        </w:tc>
        <w:tc>
          <w:tcPr/>
          <w:p>
            <w:pPr>
              <w:pStyle w:val="Compact"/>
              <w:jc w:val="left"/>
            </w:pPr>
            <w:r>
              <w:t xml:space="preserve">c.mendoza@trabajosocial.pe</w:t>
            </w:r>
          </w:p>
        </w:tc>
      </w:tr>
      <w:tr>
        <w:tc>
          <w:tcPr/>
          <w:p>
            <w:pPr>
              <w:pStyle w:val="Compact"/>
              <w:jc w:val="left"/>
            </w:pPr>
            <w:r>
              <w:t xml:space="preserve">Phone</w:t>
            </w:r>
          </w:p>
        </w:tc>
        <w:tc>
          <w:tcPr/>
          <w:p>
            <w:pPr>
              <w:pStyle w:val="Compact"/>
              <w:jc w:val="left"/>
            </w:pPr>
            <w:r>
              <w:t xml:space="preserve">+51 987 654 321</w:t>
            </w:r>
          </w:p>
        </w:tc>
      </w:tr>
      <w:tr>
        <w:tc>
          <w:tcPr/>
          <w:p>
            <w:pPr>
              <w:pStyle w:val="Compact"/>
              <w:jc w:val="left"/>
            </w:pPr>
            <w:r>
              <w:t xml:space="preserve">Bank Account</w:t>
            </w:r>
          </w:p>
        </w:tc>
        <w:tc>
          <w:tcPr/>
          <w:p>
            <w:pPr>
              <w:pStyle w:val="Compact"/>
              <w:jc w:val="left"/>
            </w:pPr>
            <w:r>
              <w:t xml:space="preserve">Banco de Crédito del Perú – Cta. Cte. Soles: 191-12345678-0-15</w:t>
            </w:r>
          </w:p>
        </w:tc>
      </w:tr>
    </w:tbl>
    <w:bookmarkEnd w:id="22"/>
    <w:bookmarkStart w:id="23" w:name="X35f43dae8dbdf67e2de3467eee95454fb29ce14"/>
    <w:p>
      <w:pPr>
        <w:pStyle w:val="Heading2"/>
      </w:pPr>
      <w:r>
        <w:t xml:space="preserve">3. Description of Services – Social Worker Professional Engagement</w:t>
      </w:r>
    </w:p>
    <w:p>
      <w:pPr>
        <w:pStyle w:val="FirstParagraph"/>
      </w:pPr>
      <w:r>
        <w:t xml:space="preserve">This</w:t>
      </w:r>
      <w:r>
        <w:t xml:space="preserve"> </w:t>
      </w:r>
      <w:r>
        <w:t xml:space="preserve">Purchase Order</w:t>
      </w:r>
      <w:r>
        <w:t xml:space="preserve"> </w:t>
      </w:r>
      <w:r>
        <w:t xml:space="preserve">is issued by Grupo Andino de Desarrollo Social S.A.C. to formally request and authorize the professional services of a licensed</w:t>
      </w:r>
      <w:r>
        <w:t xml:space="preserve"> </w:t>
      </w:r>
      <w:r>
        <w:t xml:space="preserve">Social Worker</w:t>
      </w:r>
      <w:r>
        <w:t xml:space="preserve"> </w:t>
      </w:r>
      <w:r>
        <w:t xml:space="preserve">to be deployed and executed within the metropolitan area of</w:t>
      </w:r>
      <w:r>
        <w:t xml:space="preserve"> </w:t>
      </w:r>
      <w:r>
        <w:t xml:space="preserve">Peru Lima</w:t>
      </w:r>
      <w:r>
        <w:t xml:space="preserve">. The engagement is structured under the company's annual Corporate Social Responsibility (CSR) program, "Lima Solidaria 2025," which targets vulnerable communities in the districts of San Juan de Lurigancho, Villa El Salvador, and Comas in the Lima metropolitan region.</w:t>
      </w:r>
    </w:p>
    <w:p>
      <w:pPr>
        <w:pStyle w:val="BodyText"/>
      </w:pPr>
      <w:r>
        <w:t xml:space="preserve">The</w:t>
      </w:r>
      <w:r>
        <w:t xml:space="preserve"> </w:t>
      </w:r>
      <w:r>
        <w:t xml:space="preserve">Social Worker</w:t>
      </w:r>
      <w:r>
        <w:t xml:space="preserve"> </w:t>
      </w:r>
      <w:r>
        <w:t xml:space="preserve">shall be responsible for conducting community assessments, designing and implementing psychosocial intervention programs, coordinating with municipal social service offices (Direcciones Municipales de Desarrollo Social) in</w:t>
      </w:r>
      <w:r>
        <w:t xml:space="preserve"> </w:t>
      </w:r>
      <w:r>
        <w:t xml:space="preserve">Peru Lima</w:t>
      </w:r>
      <w:r>
        <w:t xml:space="preserve">, facilitating family support workshops, managing case files for at-risk individuals, and producing monthly progress reports in accordance with the standards established by the Ministry of Women and Vulnerable Populations (MINJUS) of the Republic of Peru.</w:t>
      </w:r>
    </w:p>
    <w:bookmarkEnd w:id="23"/>
    <w:bookmarkStart w:id="24" w:name="line-items-and-financial-breakdown"/>
    <w:p>
      <w:pPr>
        <w:pStyle w:val="Heading2"/>
      </w:pPr>
      <w:r>
        <w:t xml:space="preserve">4. Line Items and Financial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w:t>
            </w:r>
          </w:p>
        </w:tc>
        <w:tc>
          <w:tcPr/>
          <w:p>
            <w:pPr>
              <w:pStyle w:val="Compact"/>
              <w:jc w:val="left"/>
            </w:pPr>
            <w:r>
              <w:t xml:space="preserve">Total (S/)</w:t>
            </w:r>
          </w:p>
        </w:tc>
      </w:tr>
      <w:tr>
        <w:tc>
          <w:tcPr/>
          <w:p>
            <w:pPr>
              <w:pStyle w:val="Compact"/>
              <w:jc w:val="left"/>
            </w:pPr>
            <w:r>
              <w:t xml:space="preserve">01</w:t>
            </w:r>
          </w:p>
        </w:tc>
        <w:tc>
          <w:tcPr/>
          <w:p>
            <w:pPr>
              <w:pStyle w:val="Compact"/>
              <w:jc w:val="left"/>
            </w:pPr>
            <w:r>
              <w:t xml:space="preserve">Professional services of a licensed</w:t>
            </w:r>
            <w:r>
              <w:t xml:space="preserve"> </w:t>
            </w:r>
            <w:r>
              <w:t xml:space="preserve">Social Worker</w:t>
            </w:r>
            <w:r>
              <w:t xml:space="preserve"> </w:t>
            </w:r>
            <w:r>
              <w:t xml:space="preserve">– Community assessment and psychosocial intervention program design in</w:t>
            </w:r>
            <w:r>
              <w:t xml:space="preserve"> </w:t>
            </w:r>
            <w:r>
              <w:t xml:space="preserve">Peru Lima</w:t>
            </w:r>
            <w:r>
              <w:t xml:space="preserve"> </w:t>
            </w:r>
            <w:r>
              <w:t xml:space="preserve">(San Juan de Lurigancho district)</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02</w:t>
            </w:r>
          </w:p>
        </w:tc>
        <w:tc>
          <w:tcPr/>
          <w:p>
            <w:pPr>
              <w:pStyle w:val="Compact"/>
              <w:jc w:val="left"/>
            </w:pPr>
            <w:r>
              <w:t xml:space="preserve">Professional services of a licensed</w:t>
            </w:r>
            <w:r>
              <w:t xml:space="preserve"> </w:t>
            </w:r>
            <w:r>
              <w:t xml:space="preserve">Social Worker</w:t>
            </w:r>
            <w:r>
              <w:t xml:space="preserve"> </w:t>
            </w:r>
            <w:r>
              <w:t xml:space="preserve">– Family support workshops and group therapy sessions in</w:t>
            </w:r>
            <w:r>
              <w:t xml:space="preserve"> </w:t>
            </w:r>
            <w:r>
              <w:t xml:space="preserve">Peru Lima</w:t>
            </w:r>
            <w:r>
              <w:t xml:space="preserve"> </w:t>
            </w:r>
            <w:r>
              <w:t xml:space="preserve">(Villa El Salvador district)</w:t>
            </w:r>
          </w:p>
        </w:tc>
        <w:tc>
          <w:tcPr/>
          <w:p>
            <w:pPr>
              <w:pStyle w:val="Compact"/>
              <w:jc w:val="left"/>
            </w:pPr>
            <w:r>
              <w:t xml:space="preserve">32</w:t>
            </w:r>
          </w:p>
        </w:tc>
        <w:tc>
          <w:tcPr/>
          <w:p>
            <w:pPr>
              <w:pStyle w:val="Compact"/>
              <w:jc w:val="left"/>
            </w:pPr>
            <w:r>
              <w:t xml:space="preserve">Hours</w:t>
            </w:r>
          </w:p>
        </w:tc>
        <w:tc>
          <w:tcPr/>
          <w:p>
            <w:pPr>
              <w:pStyle w:val="Compact"/>
              <w:jc w:val="left"/>
            </w:pPr>
            <w:r>
              <w:t xml:space="preserve">85.00</w:t>
            </w:r>
          </w:p>
        </w:tc>
        <w:tc>
          <w:tcPr/>
          <w:p>
            <w:pPr>
              <w:pStyle w:val="Compact"/>
              <w:jc w:val="left"/>
            </w:pPr>
            <w:r>
              <w:t xml:space="preserve">2,720.00</w:t>
            </w:r>
          </w:p>
        </w:tc>
      </w:tr>
      <w:tr>
        <w:tc>
          <w:tcPr/>
          <w:p>
            <w:pPr>
              <w:pStyle w:val="Compact"/>
              <w:jc w:val="left"/>
            </w:pPr>
            <w:r>
              <w:t xml:space="preserve">03</w:t>
            </w:r>
          </w:p>
        </w:tc>
        <w:tc>
          <w:tcPr/>
          <w:p>
            <w:pPr>
              <w:pStyle w:val="Compact"/>
              <w:jc w:val="left"/>
            </w:pPr>
            <w:r>
              <w:t xml:space="preserve">Professional services of a licensed</w:t>
            </w:r>
            <w:r>
              <w:t xml:space="preserve"> </w:t>
            </w:r>
            <w:r>
              <w:t xml:space="preserve">Social Worker</w:t>
            </w:r>
            <w:r>
              <w:t xml:space="preserve"> </w:t>
            </w:r>
            <w:r>
              <w:t xml:space="preserve">– Case management and follow-up for 50 at-risk families in</w:t>
            </w:r>
            <w:r>
              <w:t xml:space="preserve"> </w:t>
            </w:r>
            <w:r>
              <w:t xml:space="preserve">Peru Lima</w:t>
            </w:r>
            <w:r>
              <w:t xml:space="preserve"> </w:t>
            </w:r>
            <w:r>
              <w:t xml:space="preserve">(Comas district)</w:t>
            </w:r>
          </w:p>
        </w:tc>
        <w:tc>
          <w:tcPr/>
          <w:p>
            <w:pPr>
              <w:pStyle w:val="Compact"/>
              <w:jc w:val="left"/>
            </w:pPr>
            <w:r>
              <w:t xml:space="preserve">48</w:t>
            </w:r>
          </w:p>
        </w:tc>
        <w:tc>
          <w:tcPr/>
          <w:p>
            <w:pPr>
              <w:pStyle w:val="Compact"/>
              <w:jc w:val="left"/>
            </w:pPr>
            <w:r>
              <w:t xml:space="preserve">Hours</w:t>
            </w:r>
          </w:p>
        </w:tc>
        <w:tc>
          <w:tcPr/>
          <w:p>
            <w:pPr>
              <w:pStyle w:val="Compact"/>
              <w:jc w:val="left"/>
            </w:pPr>
            <w:r>
              <w:t xml:space="preserve">85.00</w:t>
            </w:r>
          </w:p>
        </w:tc>
        <w:tc>
          <w:tcPr/>
          <w:p>
            <w:pPr>
              <w:pStyle w:val="Compact"/>
              <w:jc w:val="left"/>
            </w:pPr>
            <w:r>
              <w:t xml:space="preserve">4,080.00</w:t>
            </w:r>
          </w:p>
        </w:tc>
      </w:tr>
      <w:tr>
        <w:tc>
          <w:tcPr/>
          <w:p>
            <w:pPr>
              <w:pStyle w:val="Compact"/>
              <w:jc w:val="left"/>
            </w:pPr>
            <w:r>
              <w:t xml:space="preserve">04</w:t>
            </w:r>
          </w:p>
        </w:tc>
        <w:tc>
          <w:tcPr/>
          <w:p>
            <w:pPr>
              <w:pStyle w:val="Compact"/>
              <w:jc w:val="left"/>
            </w:pPr>
            <w:r>
              <w:t xml:space="preserve">Coordination with municipal social service offices and MINJUS representatives in</w:t>
            </w:r>
            <w:r>
              <w:t xml:space="preserve"> </w:t>
            </w:r>
            <w:r>
              <w:t xml:space="preserve">Peru Lima</w:t>
            </w:r>
            <w:r>
              <w:t xml:space="preserve"> </w:t>
            </w:r>
            <w:r>
              <w:t xml:space="preserve">– Administrative and liaison services</w:t>
            </w:r>
          </w:p>
        </w:tc>
        <w:tc>
          <w:tcPr/>
          <w:p>
            <w:pPr>
              <w:pStyle w:val="Compact"/>
              <w:jc w:val="left"/>
            </w:pPr>
            <w:r>
              <w:t xml:space="preserve">16</w:t>
            </w:r>
          </w:p>
        </w:tc>
        <w:tc>
          <w:tcPr/>
          <w:p>
            <w:pPr>
              <w:pStyle w:val="Compact"/>
              <w:jc w:val="left"/>
            </w:pPr>
            <w:r>
              <w:t xml:space="preserve">Hours</w:t>
            </w:r>
          </w:p>
        </w:tc>
        <w:tc>
          <w:tcPr/>
          <w:p>
            <w:pPr>
              <w:pStyle w:val="Compact"/>
              <w:jc w:val="left"/>
            </w:pPr>
            <w:r>
              <w:t xml:space="preserve">95.00</w:t>
            </w:r>
          </w:p>
        </w:tc>
        <w:tc>
          <w:tcPr/>
          <w:p>
            <w:pPr>
              <w:pStyle w:val="Compact"/>
              <w:jc w:val="left"/>
            </w:pPr>
            <w:r>
              <w:t xml:space="preserve">1,520.00</w:t>
            </w:r>
          </w:p>
        </w:tc>
      </w:tr>
      <w:tr>
        <w:tc>
          <w:tcPr/>
          <w:p>
            <w:pPr>
              <w:pStyle w:val="Compact"/>
              <w:jc w:val="left"/>
            </w:pPr>
            <w:r>
              <w:t xml:space="preserve">05</w:t>
            </w:r>
          </w:p>
        </w:tc>
        <w:tc>
          <w:tcPr/>
          <w:p>
            <w:pPr>
              <w:pStyle w:val="Compact"/>
              <w:jc w:val="left"/>
            </w:pPr>
            <w:r>
              <w:t xml:space="preserve">Preparation of monthly progress reports, impact assessments, and final project documentation for the</w:t>
            </w:r>
            <w:r>
              <w:t xml:space="preserve"> </w:t>
            </w:r>
            <w:r>
              <w:t xml:space="preserve">Purchase Order</w:t>
            </w:r>
            <w:r>
              <w:t xml:space="preserve"> </w:t>
            </w:r>
            <w:r>
              <w:t xml:space="preserve">compliance file</w:t>
            </w:r>
          </w:p>
        </w:tc>
        <w:tc>
          <w:tcPr/>
          <w:p>
            <w:pPr>
              <w:pStyle w:val="Compact"/>
              <w:jc w:val="left"/>
            </w:pPr>
            <w:r>
              <w:t xml:space="preserve">3</w:t>
            </w:r>
          </w:p>
        </w:tc>
        <w:tc>
          <w:tcPr/>
          <w:p>
            <w:pPr>
              <w:pStyle w:val="Compact"/>
              <w:jc w:val="left"/>
            </w:pPr>
            <w:r>
              <w:t xml:space="preserve">Reports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Travel and transportation expenses within the Lima metropolitan area (</w:t>
            </w:r>
            <w:r>
              <w:t xml:space="preserve">Peru Lima</w:t>
            </w:r>
            <w:r>
              <w:t xml:space="preserve">) for fieldwork and community visits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left"/>
            </w:pPr>
            <w:r>
              <w:t xml:space="preserve">SUBTOTAL (S/)</w:t>
            </w:r>
          </w:p>
        </w:tc>
        <w:tc>
          <w:tcPr/>
          <w:p>
            <w:pPr>
              <w:pStyle w:val="Compact"/>
              <w:jc w:val="left"/>
            </w:pPr>
            <w:r>
              <w:t xml:space="preserve">17,120.00</w:t>
            </w:r>
          </w:p>
        </w:tc>
      </w:tr>
      <w:tr>
        <w:tc>
          <w:tcPr>
            <w:gridSpan w:val="5"/>
          </w:tcPr>
          <w:p>
            <w:pPr>
              <w:pStyle w:val="Compact"/>
              <w:jc w:val="left"/>
            </w:pPr>
            <w:r>
              <w:t xml:space="preserve">IGV (18% VAT) (S/)</w:t>
            </w:r>
          </w:p>
        </w:tc>
        <w:tc>
          <w:tcPr/>
          <w:p>
            <w:pPr>
              <w:pStyle w:val="Compact"/>
              <w:jc w:val="left"/>
            </w:pPr>
            <w:r>
              <w:t xml:space="preserve">3,081.60</w:t>
            </w:r>
          </w:p>
        </w:tc>
      </w:tr>
      <w:tr>
        <w:tc>
          <w:tcPr>
            <w:gridSpan w:val="5"/>
          </w:tcPr>
          <w:p>
            <w:pPr>
              <w:pStyle w:val="Compact"/>
              <w:jc w:val="left"/>
            </w:pPr>
            <w:r>
              <w:t xml:space="preserve">GRAND TOTAL (S/)</w:t>
            </w:r>
          </w:p>
        </w:tc>
        <w:tc>
          <w:tcPr/>
          <w:p>
            <w:pPr>
              <w:pStyle w:val="Compact"/>
              <w:jc w:val="left"/>
            </w:pPr>
            <w:r>
              <w:t xml:space="preserve">20,201.60</w:t>
            </w:r>
          </w:p>
        </w:tc>
      </w:tr>
    </w:tbl>
    <w:p>
      <w:pPr>
        <w:pStyle w:val="BodyText"/>
      </w:pPr>
      <w:r>
        <w:rPr>
          <w:bCs/>
          <w:b/>
        </w:rPr>
        <w:t xml:space="preserve">Amount in words:</w:t>
      </w:r>
      <w:r>
        <w:t xml:space="preserve"> </w:t>
      </w:r>
      <w:r>
        <w:t xml:space="preserve">Twenty thousand two hundred and one soles and sixty centimos only (S/ 20,201.60).</w:t>
      </w:r>
    </w:p>
    <w:bookmarkEnd w:id="24"/>
    <w:bookmarkStart w:id="25" w:name="X5cf958817e8965cd21d7b62be5a478f52fd87ea"/>
    <w:p>
      <w:pPr>
        <w:pStyle w:val="Heading2"/>
      </w:pPr>
      <w:r>
        <w:t xml:space="preserve">5. Terms and Conditions of the Purchase Order</w:t>
      </w:r>
    </w:p>
    <w:p>
      <w:pPr>
        <w:numPr>
          <w:ilvl w:val="0"/>
          <w:numId w:val="1001"/>
        </w:numPr>
        <w:pStyle w:val="Compact"/>
      </w:pPr>
      <w:r>
        <w:rPr>
          <w:bCs/>
          <w:b/>
        </w:rPr>
        <w:t xml:space="preserve">Validity:</w:t>
      </w:r>
      <w:r>
        <w:t xml:space="preserve"> </w:t>
      </w:r>
      <w:r>
        <w:t xml:space="preserve">This</w:t>
      </w:r>
      <w:r>
        <w:t xml:space="preserve"> </w:t>
      </w:r>
      <w:r>
        <w:t xml:space="preserve">Purchase Order</w:t>
      </w:r>
      <w:r>
        <w:t xml:space="preserve"> </w:t>
      </w:r>
      <w:r>
        <w:t xml:space="preserve">is valid for thirty (30) calendar days from the date of issue. The</w:t>
      </w:r>
      <w:r>
        <w:t xml:space="preserve"> </w:t>
      </w:r>
      <w:r>
        <w:t xml:space="preserve">Social Worker</w:t>
      </w:r>
      <w:r>
        <w:t xml:space="preserve"> </w:t>
      </w:r>
      <w:r>
        <w:t xml:space="preserve">must confirm acceptance in writing within this period to activate the contractual obligations herein described.</w:t>
      </w:r>
    </w:p>
    <w:p>
      <w:pPr>
        <w:numPr>
          <w:ilvl w:val="0"/>
          <w:numId w:val="1001"/>
        </w:numPr>
        <w:pStyle w:val="Compact"/>
      </w:pPr>
      <w:r>
        <w:rPr>
          <w:bCs/>
          <w:b/>
        </w:rPr>
        <w:t xml:space="preserve">Service Period:</w:t>
      </w:r>
      <w:r>
        <w:t xml:space="preserve"> </w:t>
      </w:r>
      <w:r>
        <w:t xml:space="preserve">The professional engagement of the</w:t>
      </w:r>
      <w:r>
        <w:t xml:space="preserve"> </w:t>
      </w:r>
      <w:r>
        <w:t xml:space="preserve">Social Worker</w:t>
      </w:r>
      <w:r>
        <w:t xml:space="preserve"> </w:t>
      </w:r>
      <w:r>
        <w:t xml:space="preserve">shall commence on July 1, 2025, and conclude on September 30, 2025, covering a total of three (3) months of active fieldwork in</w:t>
      </w:r>
      <w:r>
        <w:t xml:space="preserve"> </w:t>
      </w:r>
      <w:r>
        <w:t xml:space="preserve">Peru Lima</w:t>
      </w:r>
      <w:r>
        <w:t xml:space="preserve">.</w:t>
      </w:r>
    </w:p>
    <w:p>
      <w:pPr>
        <w:numPr>
          <w:ilvl w:val="0"/>
          <w:numId w:val="1001"/>
        </w:numPr>
        <w:pStyle w:val="Compact"/>
      </w:pPr>
      <w:r>
        <w:rPr>
          <w:bCs/>
          <w:b/>
        </w:rPr>
        <w:t xml:space="preserve">Payment Terms:</w:t>
      </w:r>
      <w:r>
        <w:t xml:space="preserve"> </w:t>
      </w:r>
      <w:r>
        <w:t xml:space="preserve">Payment shall be made in three (3) equal monthly installments of S/ 6,733.87 (including IGV), due on the 5th business day of the month following each completed service period. Payment shall be executed via bank transfer to the account specified in Section 2. A formal invoice (Factura) issued in accordance with the SUNAFIL and SUNAT regulations of the Republic of Peru must accompany each payment request.</w:t>
      </w:r>
    </w:p>
    <w:p>
      <w:pPr>
        <w:numPr>
          <w:ilvl w:val="0"/>
          <w:numId w:val="1001"/>
        </w:numPr>
        <w:pStyle w:val="Compact"/>
      </w:pPr>
      <w:r>
        <w:rPr>
          <w:bCs/>
          <w:b/>
        </w:rPr>
        <w:t xml:space="preserve">Compliance with Peruvian Law:</w:t>
      </w:r>
      <w:r>
        <w:t xml:space="preserve"> </w:t>
      </w:r>
      <w:r>
        <w:t xml:space="preserve">The</w:t>
      </w:r>
      <w:r>
        <w:t xml:space="preserve"> </w:t>
      </w:r>
      <w:r>
        <w:t xml:space="preserve">Social Worker</w:t>
      </w:r>
      <w:r>
        <w:t xml:space="preserve"> </w:t>
      </w:r>
      <w:r>
        <w:t xml:space="preserve">shall perform all duties in strict compliance with the Peruvian Code of Ethics for Social Workers, the Ley General de la Familia (Ley N° 26703), the Ley de Protección de Datos Personales (Ley N° 29733), and all applicable regulations of the Ministry of Women and Vulnerable Populations (MINJUS) governing social work practice in</w:t>
      </w:r>
      <w:r>
        <w:t xml:space="preserve"> </w:t>
      </w:r>
      <w:r>
        <w:t xml:space="preserve">Peru Lima</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Social Worker</w:t>
      </w:r>
      <w:r>
        <w:t xml:space="preserve"> </w:t>
      </w:r>
      <w:r>
        <w:t xml:space="preserve">shall maintain absolute confidentiality regarding all personal data, case files, and community information obtained during the execution of this</w:t>
      </w:r>
      <w:r>
        <w:t xml:space="preserve"> </w:t>
      </w:r>
      <w:r>
        <w:t xml:space="preserve">Purchase Order</w:t>
      </w:r>
      <w:r>
        <w:t xml:space="preserve"> </w:t>
      </w:r>
      <w:r>
        <w:t xml:space="preserve">in</w:t>
      </w:r>
      <w:r>
        <w:t xml:space="preserve"> </w:t>
      </w:r>
      <w:r>
        <w:t xml:space="preserve">Peru Lima</w:t>
      </w:r>
      <w:r>
        <w:t xml:space="preserve">. A separate Non-Disclosure Agreement (NDA) shall be executed prior to the commencement of services.</w:t>
      </w:r>
    </w:p>
    <w:p>
      <w:pPr>
        <w:numPr>
          <w:ilvl w:val="0"/>
          <w:numId w:val="1001"/>
        </w:numPr>
        <w:pStyle w:val="Compact"/>
      </w:pPr>
      <w:r>
        <w:rPr>
          <w:bCs/>
          <w:b/>
        </w:rPr>
        <w:t xml:space="preserve">Deliverables:</w:t>
      </w:r>
      <w:r>
        <w:t xml:space="preserve"> </w:t>
      </w:r>
      <w:r>
        <w:t xml:space="preserve">The</w:t>
      </w:r>
      <w:r>
        <w:t xml:space="preserve"> </w:t>
      </w:r>
      <w:r>
        <w:t xml:space="preserve">Social Worker</w:t>
      </w:r>
      <w:r>
        <w:t xml:space="preserve"> </w:t>
      </w:r>
      <w:r>
        <w:t xml:space="preserve">shall submit a written progress report by the 10th business day of each month. The final comprehensive report, including impact metrics, beneficiary feedback, and recommendations for program continuation, shall be delivered within fifteen (15) business days of the service period's conclusion.</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a written notice of fifteen (15) calendar days. In the event of early termination, payment shall be made pro-rata for services actually rendered by the</w:t>
      </w:r>
      <w:r>
        <w:t xml:space="preserve"> </w:t>
      </w:r>
      <w:r>
        <w:t xml:space="preserve">Social Worker</w:t>
      </w:r>
      <w:r>
        <w:t xml:space="preserve"> </w:t>
      </w:r>
      <w:r>
        <w:t xml:space="preserve">up to the termination date.</w:t>
      </w:r>
    </w:p>
    <w:p>
      <w:pPr>
        <w:numPr>
          <w:ilvl w:val="0"/>
          <w:numId w:val="1001"/>
        </w:numPr>
        <w:pStyle w:val="Compact"/>
      </w:pPr>
      <w:r>
        <w:rPr>
          <w:bCs/>
          <w:b/>
        </w:rPr>
        <w:t xml:space="preserve">Dispute Resolution:</w:t>
      </w:r>
      <w:r>
        <w:t xml:space="preserve"> </w:t>
      </w:r>
      <w:r>
        <w:t xml:space="preserve">Any dispute arising from this</w:t>
      </w:r>
      <w:r>
        <w:t xml:space="preserve"> </w:t>
      </w:r>
      <w:r>
        <w:t xml:space="preserve">Purchase Order</w:t>
      </w:r>
      <w:r>
        <w:t xml:space="preserve"> </w:t>
      </w:r>
      <w:r>
        <w:t xml:space="preserve">shall be resolved through amicable negotiation. Failing resolution within thirty (30) days, the matter shall be submitted to the competent civil courts of</w:t>
      </w:r>
      <w:r>
        <w:t xml:space="preserve"> </w:t>
      </w:r>
      <w:r>
        <w:t xml:space="preserve">Peru Lima</w:t>
      </w:r>
      <w:r>
        <w:t xml:space="preserve">, expressly waiving any other jurisdiction.</w:t>
      </w:r>
    </w:p>
    <w:p>
      <w:pPr>
        <w:numPr>
          <w:ilvl w:val="0"/>
          <w:numId w:val="1001"/>
        </w:numPr>
        <w:pStyle w:val="Compact"/>
      </w:pPr>
      <w:r>
        <w:rPr>
          <w:bCs/>
          <w:b/>
        </w:rPr>
        <w:t xml:space="preserve">Force Majeure:</w:t>
      </w:r>
      <w:r>
        <w:t xml:space="preserve"> </w:t>
      </w:r>
      <w:r>
        <w:t xml:space="preserve">Neither party shall be liable for delays or non-performance caused by events beyond reasonable control, including but not limited to natural disasters, government-mandated closures, or public health emergencies affecting the</w:t>
      </w:r>
      <w:r>
        <w:t xml:space="preserve"> </w:t>
      </w:r>
      <w:r>
        <w:t xml:space="preserve">Peru Lima</w:t>
      </w:r>
      <w:r>
        <w:t xml:space="preserve"> </w:t>
      </w:r>
      <w:r>
        <w:t xml:space="preserve">metropolitan area.</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civil and commercial laws of the Republic of Peru, with particular reference to the regulations applicable to professional services contracts in the city of</w:t>
      </w:r>
      <w:r>
        <w:t xml:space="preserve"> </w:t>
      </w:r>
      <w:r>
        <w:t xml:space="preserve">Peru Lima</w:t>
      </w:r>
      <w:r>
        <w:t xml:space="preserve">.</w:t>
      </w:r>
    </w:p>
    <w:bookmarkEnd w:id="25"/>
    <w:bookmarkStart w:id="26" w:name="authorization-and-signatures"/>
    <w:p>
      <w:pPr>
        <w:pStyle w:val="Heading2"/>
      </w:pPr>
      <w:r>
        <w:t xml:space="preserve">6. Authorization and Signatures</w:t>
      </w:r>
    </w:p>
    <w:p>
      <w:pPr>
        <w:pStyle w:val="FirstParagraph"/>
      </w:pPr>
      <w:r>
        <w:t xml:space="preserve">By signing below, both parties acknowledge and agree to all terms, conditions, and financial obligations set forth in this</w:t>
      </w:r>
      <w:r>
        <w:t xml:space="preserve"> </w:t>
      </w:r>
      <w:r>
        <w:t xml:space="preserve">Purchase Order</w:t>
      </w:r>
      <w:r>
        <w:t xml:space="preserve"> </w:t>
      </w:r>
      <w:r>
        <w:t xml:space="preserve">for the professional services of a</w:t>
      </w:r>
      <w:r>
        <w:t xml:space="preserve"> </w:t>
      </w:r>
      <w:r>
        <w:t xml:space="preserve">Social Worker</w:t>
      </w:r>
      <w:r>
        <w:t xml:space="preserve"> </w:t>
      </w:r>
      <w:r>
        <w:t xml:space="preserve">to be rendered in</w:t>
      </w:r>
      <w:r>
        <w:t xml:space="preserve"> </w:t>
      </w:r>
      <w:r>
        <w:t xml:space="preserve">Peru Lima</w:t>
      </w:r>
      <w:r>
        <w:t xml:space="preserve">, Republic of Peru.</w:t>
      </w:r>
    </w:p>
    <w:p>
      <w:pPr>
        <w:pStyle w:val="BodyText"/>
      </w:pPr>
      <w:r>
        <w:rPr>
          <w:bCs/>
          <w:b/>
        </w:rPr>
        <w:t xml:space="preserve">FOR THE BUYER</w:t>
      </w:r>
      <w:r>
        <w:br/>
      </w:r>
      <w:r>
        <w:t xml:space="preserve">Ing. María Fernanda Quispe Rojas</w:t>
      </w:r>
      <w:r>
        <w:br/>
      </w:r>
      <w:r>
        <w:t xml:space="preserve">Director of Corporate Social Responsibility</w:t>
      </w:r>
      <w:r>
        <w:br/>
      </w:r>
      <w:r>
        <w:t xml:space="preserve">Grupo Andino de Desarrollo Social S.A.C.</w:t>
      </w:r>
      <w:r>
        <w:br/>
      </w:r>
      <w:r>
        <w:rPr>
          <w:iCs/>
          <w:i/>
        </w:rPr>
        <w:t xml:space="preserve">Date: _______________</w:t>
      </w:r>
    </w:p>
    <w:p>
      <w:pPr>
        <w:pStyle w:val="BodyText"/>
      </w:pPr>
      <w:r>
        <w:rPr>
          <w:bCs/>
          <w:b/>
        </w:rPr>
        <w:t xml:space="preserve">FOR THE SELLER (SOCIAL WORKER)</w:t>
      </w:r>
      <w:r>
        <w:br/>
      </w:r>
      <w:r>
        <w:t xml:space="preserve">Lic. Carlos Alberto Mendoza Huamán</w:t>
      </w:r>
      <w:r>
        <w:br/>
      </w:r>
      <w:r>
        <w:t xml:space="preserve">Social Worker – CTSP License No. 4521-2019</w:t>
      </w:r>
      <w:r>
        <w:br/>
      </w:r>
      <w:r>
        <w:rPr>
          <w:iCs/>
          <w:i/>
        </w:rPr>
        <w:t xml:space="preserve">Date: _______________</w:t>
      </w:r>
    </w:p>
    <w:bookmarkEnd w:id="26"/>
    <w:p>
      <w:pPr>
        <w:pStyle w:val="BodyText"/>
      </w:pPr>
      <w:r>
        <w:rPr>
          <w:bCs/>
          <w:b/>
        </w:rPr>
        <w:t xml:space="preserve">Purchase Order No. PL-2025-SW-0047</w:t>
      </w:r>
      <w:r>
        <w:t xml:space="preserve"> </w:t>
      </w:r>
      <w:r>
        <w:t xml:space="preserve">| Grupo Andino de Desarrollo Social S.A.C. | Av. Javier Prado Este 1250, San Isidro,</w:t>
      </w:r>
      <w:r>
        <w:t xml:space="preserve"> </w:t>
      </w:r>
      <w:r>
        <w:t xml:space="preserve">Peru Lima</w:t>
      </w:r>
      <w:r>
        <w:t xml:space="preserve">, 15075</w:t>
      </w:r>
    </w:p>
    <w:p>
      <w:pPr>
        <w:pStyle w:val="BodyText"/>
      </w:pPr>
      <w:r>
        <w:t xml:space="preserve">This document constitutes a formal</w:t>
      </w:r>
      <w:r>
        <w:t xml:space="preserve"> </w:t>
      </w:r>
      <w:r>
        <w:t xml:space="preserve">Purchase Order</w:t>
      </w:r>
      <w:r>
        <w:t xml:space="preserve"> </w:t>
      </w:r>
      <w:r>
        <w:t xml:space="preserve">for professional</w:t>
      </w:r>
      <w:r>
        <w:t xml:space="preserve"> </w:t>
      </w:r>
      <w:r>
        <w:t xml:space="preserve">Social Worker</w:t>
      </w:r>
      <w:r>
        <w:t xml:space="preserve"> </w:t>
      </w:r>
      <w:r>
        <w:t xml:space="preserve">services in</w:t>
      </w:r>
      <w:r>
        <w:t xml:space="preserve"> </w:t>
      </w:r>
      <w:r>
        <w:t xml:space="preserve">Peru Lima</w:t>
      </w:r>
      <w:r>
        <w:t xml:space="preserve">. It is issued in two (2) original copies, one for each party. Unauthorized reproduction or distribution is prohibited.</w:t>
      </w:r>
    </w:p>
    <w:p>
      <w:pPr>
        <w:pStyle w:val="BodyText"/>
      </w:pPr>
      <w:r>
        <w:t xml:space="preserve">Document generated in compliance with SUNAT electronic invoicing standards and Peruvian commercial code provisions.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Peru Lima</dc:title>
  <dc:creator/>
  <dc:language>en</dc:language>
  <cp:keywords/>
  <dcterms:created xsi:type="dcterms:W3CDTF">2026-10-10T06:10:30Z</dcterms:created>
  <dcterms:modified xsi:type="dcterms:W3CDTF">2026-10-10T06:10:30Z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