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Institutional Procurement Document – Professional Services Contract</w:t>
      </w:r>
    </w:p>
    <w:p>
      <w:pPr>
        <w:pStyle w:val="BodyText"/>
      </w:pPr>
      <w:r>
        <w:t xml:space="preserve">Special Education Teacher | Peru Lima</w:t>
      </w:r>
    </w:p>
    <w:bookmarkEnd w:id="20"/>
    <w:p>
      <w:pPr>
        <w:pStyle w:val="BodyText"/>
      </w:pPr>
      <w:r>
        <w:t xml:space="preserve">PO No.: PE-LIM-SET-2025-0047</w:t>
      </w:r>
    </w:p>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PE-LIM-SET-2025-0047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Delivery / Start Date</w:t>
            </w:r>
          </w:p>
        </w:tc>
        <w:tc>
          <w:tcPr/>
          <w:p>
            <w:pPr>
              <w:pStyle w:val="Compact"/>
              <w:jc w:val="left"/>
            </w:pPr>
            <w:r>
              <w:t xml:space="preserve">August 1,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Place of Performance</w:t>
            </w:r>
          </w:p>
        </w:tc>
        <w:tc>
          <w:tcPr/>
          <w:p>
            <w:pPr>
              <w:pStyle w:val="Compact"/>
              <w:jc w:val="left"/>
            </w:pPr>
            <w:r>
              <w:t xml:space="preserve">Peru Lima – District of San Isidro, Av. Javier Prado Este 1250, Lima, Peru</w:t>
            </w:r>
          </w:p>
        </w:tc>
      </w:tr>
      <w:tr>
        <w:tc>
          <w:tcPr/>
          <w:p>
            <w:pPr>
              <w:pStyle w:val="Compact"/>
              <w:jc w:val="left"/>
            </w:pPr>
            <w:r>
              <w:t xml:space="preserve">Currency</w:t>
            </w:r>
          </w:p>
        </w:tc>
        <w:tc>
          <w:tcPr/>
          <w:p>
            <w:pPr>
              <w:pStyle w:val="Compact"/>
              <w:jc w:val="left"/>
            </w:pPr>
            <w:r>
              <w:t xml:space="preserve">Peruvian Sol (PEN / S/)</w:t>
            </w:r>
          </w:p>
        </w:tc>
      </w:tr>
      <w:tr>
        <w:tc>
          <w:tcPr/>
          <w:p>
            <w:pPr>
              <w:pStyle w:val="Compact"/>
              <w:jc w:val="left"/>
            </w:pPr>
            <w:r>
              <w:t xml:space="preserve">Total Purchase Order Value</w:t>
            </w:r>
          </w:p>
        </w:tc>
        <w:tc>
          <w:tcPr/>
          <w:p>
            <w:pPr>
              <w:pStyle w:val="Compact"/>
              <w:jc w:val="left"/>
            </w:pPr>
            <w:r>
              <w:t xml:space="preserve">S/ 186,000.00 (One Hundred Eighty-Six Thousand Peruvian Soles)</w:t>
            </w:r>
          </w:p>
        </w:tc>
      </w:tr>
    </w:tbl>
    <w:bookmarkEnd w:id="21"/>
    <w:bookmarkStart w:id="24" w:name="purchasing-entity-buyer"/>
    <w:p>
      <w:pPr>
        <w:pStyle w:val="Heading2"/>
      </w:pPr>
      <w:r>
        <w:t xml:space="preserve">2. Purchasing Entity (Buyer)</w:t>
      </w:r>
    </w:p>
    <w:bookmarkStart w:id="22" w:name="institution"/>
    <w:p>
      <w:pPr>
        <w:pStyle w:val="Heading3"/>
      </w:pPr>
      <w:r>
        <w:t xml:space="preserve">Institution</w:t>
      </w:r>
    </w:p>
    <w:p>
      <w:pPr>
        <w:pStyle w:val="FirstParagraph"/>
      </w:pPr>
      <w:r>
        <w:rPr>
          <w:bCs/>
          <w:b/>
        </w:rPr>
        <w:t xml:space="preserve">Instituto Educativo Inclusivo del Pacífico</w:t>
      </w:r>
    </w:p>
    <w:p>
      <w:pPr>
        <w:pStyle w:val="BodyText"/>
      </w:pPr>
      <w:r>
        <w:t xml:space="preserve">RUC: 20587431296</w:t>
      </w:r>
    </w:p>
    <w:p>
      <w:pPr>
        <w:pStyle w:val="BodyText"/>
      </w:pPr>
      <w:r>
        <w:t xml:space="preserve">Address: Av. Javier Prado Este 1250, San Isidro, Lima, Peru</w:t>
      </w:r>
    </w:p>
    <w:p>
      <w:pPr>
        <w:pStyle w:val="BodyText"/>
      </w:pPr>
      <w:r>
        <w:t xml:space="preserve">Phone: +51 1 445-8890</w:t>
      </w:r>
    </w:p>
    <w:p>
      <w:pPr>
        <w:pStyle w:val="BodyText"/>
      </w:pPr>
      <w:r>
        <w:t xml:space="preserve">Email: procurement@ieip.edu.pe</w:t>
      </w:r>
    </w:p>
    <w:bookmarkEnd w:id="22"/>
    <w:bookmarkStart w:id="23" w:name="authorized-representative"/>
    <w:p>
      <w:pPr>
        <w:pStyle w:val="Heading3"/>
      </w:pPr>
      <w:r>
        <w:t xml:space="preserve">Authorized Representative</w:t>
      </w:r>
    </w:p>
    <w:p>
      <w:pPr>
        <w:pStyle w:val="FirstParagraph"/>
      </w:pPr>
      <w:r>
        <w:rPr>
          <w:bCs/>
          <w:b/>
        </w:rPr>
        <w:t xml:space="preserve">Dr. María Elena Quispe Rojas</w:t>
      </w:r>
    </w:p>
    <w:p>
      <w:pPr>
        <w:pStyle w:val="BodyText"/>
      </w:pPr>
      <w:r>
        <w:t xml:space="preserve">Director General</w:t>
      </w:r>
    </w:p>
    <w:p>
      <w:pPr>
        <w:pStyle w:val="BodyText"/>
      </w:pPr>
      <w:r>
        <w:t xml:space="preserve">DNI: 45678912</w:t>
      </w:r>
    </w:p>
    <w:p>
      <w:pPr>
        <w:pStyle w:val="BodyText"/>
      </w:pPr>
      <w:r>
        <w:t xml:space="preserve">Position: Institutional Procurement Authority</w:t>
      </w:r>
    </w:p>
    <w:bookmarkEnd w:id="23"/>
    <w:bookmarkEnd w:id="24"/>
    <w:bookmarkStart w:id="27" w:name="vendor-service-provider-seller"/>
    <w:p>
      <w:pPr>
        <w:pStyle w:val="Heading2"/>
      </w:pPr>
      <w:r>
        <w:t xml:space="preserve">3. Vendor / Service Provider (Seller)</w:t>
      </w:r>
    </w:p>
    <w:bookmarkStart w:id="25" w:name="professional"/>
    <w:p>
      <w:pPr>
        <w:pStyle w:val="Heading3"/>
      </w:pPr>
      <w:r>
        <w:t xml:space="preserve">Professional</w:t>
      </w:r>
    </w:p>
    <w:p>
      <w:pPr>
        <w:pStyle w:val="FirstParagraph"/>
      </w:pPr>
      <w:r>
        <w:rPr>
          <w:bCs/>
          <w:b/>
        </w:rPr>
        <w:t xml:space="preserve">Prof. Carlos Alberto Mendoza Huamán</w:t>
      </w:r>
    </w:p>
    <w:p>
      <w:pPr>
        <w:pStyle w:val="BodyText"/>
      </w:pPr>
      <w:r>
        <w:t xml:space="preserve">DNI: 43219876</w:t>
      </w:r>
    </w:p>
    <w:p>
      <w:pPr>
        <w:pStyle w:val="BodyText"/>
      </w:pPr>
      <w:r>
        <w:t xml:space="preserve">CE (Certificado de Estudios): 0012345678</w:t>
      </w:r>
    </w:p>
    <w:p>
      <w:pPr>
        <w:pStyle w:val="BodyText"/>
      </w:pPr>
      <w:r>
        <w:t xml:space="preserve">Address: Jr. Los Pinos 456, Miraflores, Lima, Peru</w:t>
      </w:r>
    </w:p>
    <w:p>
      <w:pPr>
        <w:pStyle w:val="BodyText"/>
      </w:pPr>
      <w:r>
        <w:t xml:space="preserve">Phone: +51 987-654-321</w:t>
      </w:r>
    </w:p>
    <w:bookmarkEnd w:id="25"/>
    <w:bookmarkStart w:id="26" w:name="professional-credentials"/>
    <w:p>
      <w:pPr>
        <w:pStyle w:val="Heading3"/>
      </w:pPr>
      <w:r>
        <w:t xml:space="preserve">Professional Credentials</w:t>
      </w:r>
    </w:p>
    <w:p>
      <w:pPr>
        <w:pStyle w:val="FirstParagraph"/>
      </w:pPr>
      <w:r>
        <w:t xml:space="preserve">Master's Degree in Special Education, Universidad Nacional Mayor de San Marcos, Lima</w:t>
      </w:r>
    </w:p>
    <w:p>
      <w:pPr>
        <w:pStyle w:val="BodyText"/>
      </w:pPr>
      <w:r>
        <w:t xml:space="preserve">Certification in Inclusive Pedagogy – MINEDU Peru</w:t>
      </w:r>
    </w:p>
    <w:p>
      <w:pPr>
        <w:pStyle w:val="BodyText"/>
      </w:pPr>
      <w:r>
        <w:t xml:space="preserve">8 years of experience as a Special Education Teacher in Peru Lima public and private institutions</w:t>
      </w:r>
    </w:p>
    <w:bookmarkEnd w:id="26"/>
    <w:bookmarkEnd w:id="27"/>
    <w:bookmarkStart w:id="28" w:name="Xfdd8412a98b6d3a1f3992d56c081180e5995c71"/>
    <w:p>
      <w:pPr>
        <w:pStyle w:val="Heading2"/>
      </w:pPr>
      <w:r>
        <w:t xml:space="preserve">4. Scope of Services – Special Education Teacher</w:t>
      </w:r>
    </w:p>
    <w:p>
      <w:pPr>
        <w:pStyle w:val="FirstParagraph"/>
      </w:pPr>
      <w:r>
        <w:t xml:space="preserve">This Purchase Order authorizes the engagement of a qualified</w:t>
      </w:r>
      <w:r>
        <w:t xml:space="preserve"> </w:t>
      </w:r>
      <w:r>
        <w:t xml:space="preserve">Special Education Teacher</w:t>
      </w:r>
      <w:r>
        <w:t xml:space="preserve"> </w:t>
      </w:r>
      <w:r>
        <w:t xml:space="preserve">to provide comprehensive educational services within the facilities of the Instituto Educativo Inclusivo del Pacífico, located in</w:t>
      </w:r>
      <w:r>
        <w:t xml:space="preserve"> </w:t>
      </w:r>
      <w:r>
        <w:t xml:space="preserve">Peru Lima</w:t>
      </w:r>
      <w:r>
        <w:t xml:space="preserve">. The scope of services encompasses the following deliverables and responsibilities:</w:t>
      </w:r>
    </w:p>
    <w:p>
      <w:pPr>
        <w:numPr>
          <w:ilvl w:val="0"/>
          <w:numId w:val="1001"/>
        </w:numPr>
        <w:pStyle w:val="Compact"/>
      </w:pPr>
      <w:r>
        <w:t xml:space="preserve">Design, implementation, and evaluation of Individualized Education Programs (IEPs) for students with diverse learning needs, including but not limited to intellectual disabilities, autism spectrum disorder, visual and auditory impairments, and specific learning difficulties.</w:t>
      </w:r>
    </w:p>
    <w:p>
      <w:pPr>
        <w:numPr>
          <w:ilvl w:val="0"/>
          <w:numId w:val="1001"/>
        </w:numPr>
        <w:pStyle w:val="Compact"/>
      </w:pPr>
      <w:r>
        <w:t xml:space="preserve">Direct instructional delivery of a minimum of twenty (20) hours per week in specialized classrooms and resource rooms within the Peru Lima campus.</w:t>
      </w:r>
    </w:p>
    <w:p>
      <w:pPr>
        <w:numPr>
          <w:ilvl w:val="0"/>
          <w:numId w:val="1001"/>
        </w:numPr>
        <w:pStyle w:val="Compact"/>
      </w:pPr>
      <w:r>
        <w:t xml:space="preserve">Collaboration with general education teachers, school psychologists, speech therapists, and family members to develop integrated learning strategies aligned with the Peruvian National Curriculum (Currículo Nacional de Educación Básica – CNEB) issued by the Ministry of Education (MINEDU) of Peru.</w:t>
      </w:r>
    </w:p>
    <w:p>
      <w:pPr>
        <w:numPr>
          <w:ilvl w:val="0"/>
          <w:numId w:val="1001"/>
        </w:numPr>
        <w:pStyle w:val="Compact"/>
      </w:pPr>
      <w:r>
        <w:t xml:space="preserve">Development of adapted teaching materials, assistive technology integration, and sensory-friendly learning environments appropriate for the student population in Peru Lima.</w:t>
      </w:r>
    </w:p>
    <w:p>
      <w:pPr>
        <w:numPr>
          <w:ilvl w:val="0"/>
          <w:numId w:val="1001"/>
        </w:numPr>
        <w:pStyle w:val="Compact"/>
      </w:pPr>
      <w:r>
        <w:t xml:space="preserve">Monthly progress reporting to the institutional administration, including standardized assessment data, behavioral observations, and recommendations for curriculum adjustments.</w:t>
      </w:r>
    </w:p>
    <w:p>
      <w:pPr>
        <w:numPr>
          <w:ilvl w:val="0"/>
          <w:numId w:val="1001"/>
        </w:numPr>
        <w:pStyle w:val="Compact"/>
      </w:pPr>
      <w:r>
        <w:t xml:space="preserve">Participation in at least two (2) professional development workshops per semester focused on inclusive education best practices, as mandated by Peruvian educational regulations.</w:t>
      </w:r>
    </w:p>
    <w:p>
      <w:pPr>
        <w:numPr>
          <w:ilvl w:val="0"/>
          <w:numId w:val="1001"/>
        </w:numPr>
        <w:pStyle w:val="Compact"/>
      </w:pPr>
      <w:r>
        <w:t xml:space="preserve">Supervision and mentoring of two (2) teaching assistants assigned to support the Special Education Teacher in daily classroom operations.</w:t>
      </w:r>
    </w:p>
    <w:bookmarkEnd w:id="28"/>
    <w:bookmarkStart w:id="29" w:name="payment-terms-and-schedule"/>
    <w:p>
      <w:pPr>
        <w:pStyle w:val="Heading2"/>
      </w:pPr>
      <w:r>
        <w:t xml:space="preserve">5. Payment Terms and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Period</w:t>
            </w:r>
          </w:p>
        </w:tc>
        <w:tc>
          <w:tcPr/>
          <w:p>
            <w:pPr>
              <w:pStyle w:val="Compact"/>
              <w:jc w:val="left"/>
            </w:pPr>
            <w:r>
              <w:t xml:space="preserve">Amount (PEN)</w:t>
            </w:r>
          </w:p>
        </w:tc>
        <w:tc>
          <w:tcPr/>
          <w:p>
            <w:pPr>
              <w:pStyle w:val="Compact"/>
              <w:jc w:val="left"/>
            </w:pPr>
            <w:r>
              <w:t xml:space="preserve">Conditions</w:t>
            </w:r>
          </w:p>
        </w:tc>
      </w:tr>
      <w:tr>
        <w:tc>
          <w:tcPr/>
          <w:p>
            <w:pPr>
              <w:pStyle w:val="Compact"/>
              <w:jc w:val="left"/>
            </w:pPr>
            <w:r>
              <w:t xml:space="preserve">1st Payment</w:t>
            </w:r>
          </w:p>
        </w:tc>
        <w:tc>
          <w:tcPr/>
          <w:p>
            <w:pPr>
              <w:pStyle w:val="Compact"/>
              <w:jc w:val="left"/>
            </w:pPr>
            <w:r>
              <w:t xml:space="preserve">August 2025</w:t>
            </w:r>
          </w:p>
        </w:tc>
        <w:tc>
          <w:tcPr/>
          <w:p>
            <w:pPr>
              <w:pStyle w:val="Compact"/>
              <w:jc w:val="left"/>
            </w:pPr>
            <w:r>
              <w:t xml:space="preserve">S/ 15,500.00</w:t>
            </w:r>
          </w:p>
        </w:tc>
        <w:tc>
          <w:tcPr/>
          <w:p>
            <w:pPr>
              <w:pStyle w:val="Compact"/>
              <w:jc w:val="left"/>
            </w:pPr>
            <w:r>
              <w:t xml:space="preserve">Upon verified commencement of services</w:t>
            </w:r>
          </w:p>
        </w:tc>
      </w:tr>
      <w:tr>
        <w:tc>
          <w:tcPr/>
          <w:p>
            <w:pPr>
              <w:pStyle w:val="Compact"/>
              <w:jc w:val="left"/>
            </w:pPr>
            <w:r>
              <w:t xml:space="preserve">2nd Payment</w:t>
            </w:r>
          </w:p>
        </w:tc>
        <w:tc>
          <w:tcPr/>
          <w:p>
            <w:pPr>
              <w:pStyle w:val="Compact"/>
              <w:jc w:val="left"/>
            </w:pPr>
            <w:r>
              <w:t xml:space="preserve">September 2025</w:t>
            </w:r>
          </w:p>
        </w:tc>
        <w:tc>
          <w:tcPr/>
          <w:p>
            <w:pPr>
              <w:pStyle w:val="Compact"/>
              <w:jc w:val="left"/>
            </w:pPr>
            <w:r>
              <w:t xml:space="preserve">S/ 15,500.00</w:t>
            </w:r>
          </w:p>
        </w:tc>
        <w:tc>
          <w:tcPr/>
          <w:p>
            <w:pPr>
              <w:pStyle w:val="Compact"/>
              <w:jc w:val="left"/>
            </w:pPr>
            <w:r>
              <w:t xml:space="preserve">Submission of first monthly progress report</w:t>
            </w:r>
          </w:p>
        </w:tc>
      </w:tr>
      <w:tr>
        <w:tc>
          <w:tcPr/>
          <w:p>
            <w:pPr>
              <w:pStyle w:val="Compact"/>
              <w:jc w:val="left"/>
            </w:pPr>
            <w:r>
              <w:t xml:space="preserve">3rd Payment</w:t>
            </w:r>
          </w:p>
        </w:tc>
        <w:tc>
          <w:tcPr/>
          <w:p>
            <w:pPr>
              <w:pStyle w:val="Compact"/>
              <w:jc w:val="left"/>
            </w:pPr>
            <w:r>
              <w:t xml:space="preserve">October 2025</w:t>
            </w:r>
          </w:p>
        </w:tc>
        <w:tc>
          <w:tcPr/>
          <w:p>
            <w:pPr>
              <w:pStyle w:val="Compact"/>
              <w:jc w:val="left"/>
            </w:pPr>
            <w:r>
              <w:t xml:space="preserve">S/ 15,500.00</w:t>
            </w:r>
          </w:p>
        </w:tc>
        <w:tc>
          <w:tcPr/>
          <w:p>
            <w:pPr>
              <w:pStyle w:val="Compact"/>
              <w:jc w:val="left"/>
            </w:pPr>
            <w:r>
              <w:t xml:space="preserve">Mid-semester IEP review completed</w:t>
            </w:r>
          </w:p>
        </w:tc>
      </w:tr>
      <w:tr>
        <w:tc>
          <w:tcPr/>
          <w:p>
            <w:pPr>
              <w:pStyle w:val="Compact"/>
              <w:jc w:val="left"/>
            </w:pPr>
            <w:r>
              <w:t xml:space="preserve">4th Payment</w:t>
            </w:r>
          </w:p>
        </w:tc>
        <w:tc>
          <w:tcPr/>
          <w:p>
            <w:pPr>
              <w:pStyle w:val="Compact"/>
              <w:jc w:val="left"/>
            </w:pPr>
            <w:r>
              <w:t xml:space="preserve">November 2025</w:t>
            </w:r>
          </w:p>
        </w:tc>
        <w:tc>
          <w:tcPr/>
          <w:p>
            <w:pPr>
              <w:pStyle w:val="Compact"/>
              <w:jc w:val="left"/>
            </w:pPr>
            <w:r>
              <w:t xml:space="preserve">S/ 15,500.00</w:t>
            </w:r>
          </w:p>
        </w:tc>
        <w:tc>
          <w:tcPr/>
          <w:p>
            <w:pPr>
              <w:pStyle w:val="Compact"/>
              <w:jc w:val="left"/>
            </w:pPr>
            <w:r>
              <w:t xml:space="preserve">Continued satisfactory performance</w:t>
            </w:r>
          </w:p>
        </w:tc>
      </w:tr>
      <w:tr>
        <w:tc>
          <w:tcPr/>
          <w:p>
            <w:pPr>
              <w:pStyle w:val="Compact"/>
              <w:jc w:val="left"/>
            </w:pPr>
            <w:r>
              <w:t xml:space="preserve">5th Payment</w:t>
            </w:r>
          </w:p>
        </w:tc>
        <w:tc>
          <w:tcPr/>
          <w:p>
            <w:pPr>
              <w:pStyle w:val="Compact"/>
              <w:jc w:val="left"/>
            </w:pPr>
            <w:r>
              <w:t xml:space="preserve">December 2025</w:t>
            </w:r>
          </w:p>
        </w:tc>
        <w:tc>
          <w:tcPr/>
          <w:p>
            <w:pPr>
              <w:pStyle w:val="Compact"/>
              <w:jc w:val="left"/>
            </w:pPr>
            <w:r>
              <w:t xml:space="preserve">S/ 15,500.00</w:t>
            </w:r>
          </w:p>
        </w:tc>
        <w:tc>
          <w:tcPr/>
          <w:p>
            <w:pPr>
              <w:pStyle w:val="Compact"/>
              <w:jc w:val="left"/>
            </w:pPr>
            <w:r>
              <w:t xml:space="preserve">End-of-semester evaluation submitted</w:t>
            </w:r>
          </w:p>
        </w:tc>
      </w:tr>
      <w:tr>
        <w:tc>
          <w:tcPr/>
          <w:p>
            <w:pPr>
              <w:pStyle w:val="Compact"/>
              <w:jc w:val="left"/>
            </w:pPr>
            <w:r>
              <w:t xml:space="preserve">6th Payment</w:t>
            </w:r>
          </w:p>
        </w:tc>
        <w:tc>
          <w:tcPr/>
          <w:p>
            <w:pPr>
              <w:pStyle w:val="Compact"/>
              <w:jc w:val="left"/>
            </w:pPr>
            <w:r>
              <w:t xml:space="preserve">January 2026</w:t>
            </w:r>
          </w:p>
        </w:tc>
        <w:tc>
          <w:tcPr/>
          <w:p>
            <w:pPr>
              <w:pStyle w:val="Compact"/>
              <w:jc w:val="left"/>
            </w:pPr>
            <w:r>
              <w:t xml:space="preserve">S/ 15,500.00</w:t>
            </w:r>
          </w:p>
        </w:tc>
        <w:tc>
          <w:tcPr/>
          <w:p>
            <w:pPr>
              <w:pStyle w:val="Compact"/>
              <w:jc w:val="left"/>
            </w:pPr>
            <w:r>
              <w:t xml:space="preserve">New academic year planning approved</w:t>
            </w:r>
          </w:p>
        </w:tc>
      </w:tr>
      <w:tr>
        <w:tc>
          <w:tcPr/>
          <w:p>
            <w:pPr>
              <w:pStyle w:val="Compact"/>
              <w:jc w:val="left"/>
            </w:pPr>
            <w:r>
              <w:t xml:space="preserve">7th Payment</w:t>
            </w:r>
          </w:p>
        </w:tc>
        <w:tc>
          <w:tcPr/>
          <w:p>
            <w:pPr>
              <w:pStyle w:val="Compact"/>
              <w:jc w:val="left"/>
            </w:pPr>
            <w:r>
              <w:t xml:space="preserve">February 2026</w:t>
            </w:r>
          </w:p>
        </w:tc>
        <w:tc>
          <w:tcPr/>
          <w:p>
            <w:pPr>
              <w:pStyle w:val="Compact"/>
              <w:jc w:val="left"/>
            </w:pPr>
            <w:r>
              <w:t xml:space="preserve">S/ 15,500.00</w:t>
            </w:r>
          </w:p>
        </w:tc>
        <w:tc>
          <w:tcPr/>
          <w:p>
            <w:pPr>
              <w:pStyle w:val="Compact"/>
              <w:jc w:val="left"/>
            </w:pPr>
            <w:r>
              <w:t xml:space="preserve">Continued satisfactory performance</w:t>
            </w:r>
          </w:p>
        </w:tc>
      </w:tr>
      <w:tr>
        <w:tc>
          <w:tcPr/>
          <w:p>
            <w:pPr>
              <w:pStyle w:val="Compact"/>
              <w:jc w:val="left"/>
            </w:pPr>
            <w:r>
              <w:t xml:space="preserve">8th Payment</w:t>
            </w:r>
          </w:p>
        </w:tc>
        <w:tc>
          <w:tcPr/>
          <w:p>
            <w:pPr>
              <w:pStyle w:val="Compact"/>
              <w:jc w:val="left"/>
            </w:pPr>
            <w:r>
              <w:t xml:space="preserve">March 2026</w:t>
            </w:r>
          </w:p>
        </w:tc>
        <w:tc>
          <w:tcPr/>
          <w:p>
            <w:pPr>
              <w:pStyle w:val="Compact"/>
              <w:jc w:val="left"/>
            </w:pPr>
            <w:r>
              <w:t xml:space="preserve">S/ 15,500.00</w:t>
            </w:r>
          </w:p>
        </w:tc>
        <w:tc>
          <w:tcPr/>
          <w:p>
            <w:pPr>
              <w:pStyle w:val="Compact"/>
              <w:jc w:val="left"/>
            </w:pPr>
            <w:r>
              <w:t xml:space="preserve">Continued satisfactory performance</w:t>
            </w:r>
          </w:p>
        </w:tc>
      </w:tr>
      <w:tr>
        <w:tc>
          <w:tcPr/>
          <w:p>
            <w:pPr>
              <w:pStyle w:val="Compact"/>
              <w:jc w:val="left"/>
            </w:pPr>
            <w:r>
              <w:t xml:space="preserve">9th Payment</w:t>
            </w:r>
          </w:p>
        </w:tc>
        <w:tc>
          <w:tcPr/>
          <w:p>
            <w:pPr>
              <w:pStyle w:val="Compact"/>
              <w:jc w:val="left"/>
            </w:pPr>
            <w:r>
              <w:t xml:space="preserve">April 2026</w:t>
            </w:r>
          </w:p>
        </w:tc>
        <w:tc>
          <w:tcPr/>
          <w:p>
            <w:pPr>
              <w:pStyle w:val="Compact"/>
              <w:jc w:val="left"/>
            </w:pPr>
            <w:r>
              <w:t xml:space="preserve">S/ 15,500.00</w:t>
            </w:r>
          </w:p>
        </w:tc>
        <w:tc>
          <w:tcPr/>
          <w:p>
            <w:pPr>
              <w:pStyle w:val="Compact"/>
              <w:jc w:val="left"/>
            </w:pPr>
            <w:r>
              <w:t xml:space="preserve">Continued satisfactory performance</w:t>
            </w:r>
          </w:p>
        </w:tc>
      </w:tr>
      <w:tr>
        <w:tc>
          <w:tcPr/>
          <w:p>
            <w:pPr>
              <w:pStyle w:val="Compact"/>
              <w:jc w:val="left"/>
            </w:pPr>
            <w:r>
              <w:t xml:space="preserve">10th Payment</w:t>
            </w:r>
          </w:p>
        </w:tc>
        <w:tc>
          <w:tcPr/>
          <w:p>
            <w:pPr>
              <w:pStyle w:val="Compact"/>
              <w:jc w:val="left"/>
            </w:pPr>
            <w:r>
              <w:t xml:space="preserve">May 2026</w:t>
            </w:r>
          </w:p>
        </w:tc>
        <w:tc>
          <w:tcPr/>
          <w:p>
            <w:pPr>
              <w:pStyle w:val="Compact"/>
              <w:jc w:val="left"/>
            </w:pPr>
            <w:r>
              <w:t xml:space="preserve">S/ 15,500.00</w:t>
            </w:r>
          </w:p>
        </w:tc>
        <w:tc>
          <w:tcPr/>
          <w:p>
            <w:pPr>
              <w:pStyle w:val="Compact"/>
              <w:jc w:val="left"/>
            </w:pPr>
            <w:r>
              <w:t xml:space="preserve">Continued satisfactory performance</w:t>
            </w:r>
          </w:p>
        </w:tc>
      </w:tr>
      <w:tr>
        <w:tc>
          <w:tcPr/>
          <w:p>
            <w:pPr>
              <w:pStyle w:val="Compact"/>
              <w:jc w:val="left"/>
            </w:pPr>
            <w:r>
              <w:t xml:space="preserve">11th Payment</w:t>
            </w:r>
          </w:p>
        </w:tc>
        <w:tc>
          <w:tcPr/>
          <w:p>
            <w:pPr>
              <w:pStyle w:val="Compact"/>
              <w:jc w:val="left"/>
            </w:pPr>
            <w:r>
              <w:t xml:space="preserve">June 2026</w:t>
            </w:r>
          </w:p>
        </w:tc>
        <w:tc>
          <w:tcPr/>
          <w:p>
            <w:pPr>
              <w:pStyle w:val="Compact"/>
              <w:jc w:val="left"/>
            </w:pPr>
            <w:r>
              <w:t xml:space="preserve">S/ 15,500.00</w:t>
            </w:r>
          </w:p>
        </w:tc>
        <w:tc>
          <w:tcPr/>
          <w:p>
            <w:pPr>
              <w:pStyle w:val="Compact"/>
              <w:jc w:val="left"/>
            </w:pPr>
            <w:r>
              <w:t xml:space="preserve">Continued satisfactory performance</w:t>
            </w:r>
          </w:p>
        </w:tc>
      </w:tr>
      <w:tr>
        <w:tc>
          <w:tcPr/>
          <w:p>
            <w:pPr>
              <w:pStyle w:val="Compact"/>
              <w:jc w:val="left"/>
            </w:pPr>
            <w:r>
              <w:t xml:space="preserve">12th Payment</w:t>
            </w:r>
          </w:p>
        </w:tc>
        <w:tc>
          <w:tcPr/>
          <w:p>
            <w:pPr>
              <w:pStyle w:val="Compact"/>
              <w:jc w:val="left"/>
            </w:pPr>
            <w:r>
              <w:t xml:space="preserve">July 2026</w:t>
            </w:r>
          </w:p>
        </w:tc>
        <w:tc>
          <w:tcPr/>
          <w:p>
            <w:pPr>
              <w:pStyle w:val="Compact"/>
              <w:jc w:val="left"/>
            </w:pPr>
            <w:r>
              <w:t xml:space="preserve">S/ 15,500.00</w:t>
            </w:r>
          </w:p>
        </w:tc>
        <w:tc>
          <w:tcPr/>
          <w:p>
            <w:pPr>
              <w:pStyle w:val="Compact"/>
              <w:jc w:val="left"/>
            </w:pPr>
            <w:r>
              <w:t xml:space="preserve">Final annual report and contract closure</w:t>
            </w:r>
          </w:p>
        </w:tc>
      </w:tr>
    </w:tbl>
    <w:p>
      <w:pPr>
        <w:pStyle w:val="BodyText"/>
      </w:pPr>
      <w:r>
        <w:t xml:space="preserve">All payments shall be made via bank transfer to the account designated by the Special Education Teacher. The purchasing entity shall withhold applicable taxes in accordance with Peruvian tax legislation (Ley del Impuesto a la Renta, TUO D.S. 179-2004-EF). Payment terms are net fifteen (15) calendar days from the date of invoice submission.</w:t>
      </w:r>
    </w:p>
    <w:bookmarkEnd w:id="29"/>
    <w:bookmarkStart w:id="30" w:name="terms-and-conditions"/>
    <w:p>
      <w:pPr>
        <w:pStyle w:val="Heading2"/>
      </w:pPr>
      <w:r>
        <w:t xml:space="preserve">6. Terms and Conditions</w:t>
      </w:r>
    </w:p>
    <w:p>
      <w:pPr>
        <w:numPr>
          <w:ilvl w:val="0"/>
          <w:numId w:val="1002"/>
        </w:numPr>
        <w:pStyle w:val="Compact"/>
      </w:pPr>
      <w:r>
        <w:t xml:space="preserve">This Purchase Order is governed by the laws of the Republic of Peru, including the Peruvian Civil Code, the General Education Law (Ley General de Educación, Ley N° 28044), and the Regulations on Inclusive Education issued by MINEDU.</w:t>
      </w:r>
    </w:p>
    <w:p>
      <w:pPr>
        <w:numPr>
          <w:ilvl w:val="0"/>
          <w:numId w:val="1002"/>
        </w:numPr>
        <w:pStyle w:val="Compact"/>
      </w:pPr>
      <w:r>
        <w:t xml:space="preserve">The Special Education Teacher shall comply with all labor regulations applicable in Peru Lima, including the Peruvian Labor Code (Código Laboral, D.S. 003-97-TR) and the corresponding social security contributions through the Sistema Integrado de Administración Tributaria (SUNAT) and EsSalud.</w:t>
      </w:r>
    </w:p>
    <w:p>
      <w:pPr>
        <w:numPr>
          <w:ilvl w:val="0"/>
          <w:numId w:val="1002"/>
        </w:numPr>
        <w:pStyle w:val="Compact"/>
      </w:pPr>
      <w:r>
        <w:t xml:space="preserve">Either party may terminate this Purchase Order with thirty (30) days written notice. In the event of termination for cause, the Special Education Teacher shall be compensated for all services rendered up to the effective date of termination.</w:t>
      </w:r>
    </w:p>
    <w:p>
      <w:pPr>
        <w:numPr>
          <w:ilvl w:val="0"/>
          <w:numId w:val="1002"/>
        </w:numPr>
        <w:pStyle w:val="Compact"/>
      </w:pPr>
      <w:r>
        <w:t xml:space="preserve">The Special Education Teacher warrants that all professional credentials, certifications, and academic records presented in connection with this Purchase Order are authentic, current, and verifiable through the Peruvian Ministry of Education registry.</w:t>
      </w:r>
    </w:p>
    <w:p>
      <w:pPr>
        <w:numPr>
          <w:ilvl w:val="0"/>
          <w:numId w:val="1002"/>
        </w:numPr>
        <w:pStyle w:val="Compact"/>
      </w:pPr>
      <w:r>
        <w:t xml:space="preserve">Confidentiality: The Special Education Teacher shall maintain strict confidentiality regarding all student records, family information, and institutional data in compliance with Peru's Personal Data Protection Law (Ley N° 29733).</w:t>
      </w:r>
    </w:p>
    <w:p>
      <w:pPr>
        <w:numPr>
          <w:ilvl w:val="0"/>
          <w:numId w:val="1002"/>
        </w:numPr>
        <w:pStyle w:val="Compact"/>
      </w:pPr>
      <w:r>
        <w:t xml:space="preserve">Dispute resolution: Any disputes arising from this Purchase Order shall be resolved through binding arbitration in Peru Lima, in accordance with the rules of the Centro de Arbitraje y Conciliación de la Cámara de Comercio de Lima.</w:t>
      </w:r>
    </w:p>
    <w:p>
      <w:pPr>
        <w:numPr>
          <w:ilvl w:val="0"/>
          <w:numId w:val="1002"/>
        </w:numPr>
        <w:pStyle w:val="Compact"/>
      </w:pPr>
      <w:r>
        <w:t xml:space="preserve">This Purchase Order constitutes the entire agreement between the parties and supersedes all prior negotiations, representations, or agreements relating to the engagement of the Special Education Teacher in Peru Lima.</w:t>
      </w:r>
    </w:p>
    <w:bookmarkEnd w:id="30"/>
    <w:bookmarkStart w:id="31" w:name="acceptance-and-authorization"/>
    <w:p>
      <w:pPr>
        <w:pStyle w:val="Heading2"/>
      </w:pPr>
      <w:r>
        <w:t xml:space="preserve">7. Acceptance and Authorization</w:t>
      </w:r>
    </w:p>
    <w:p>
      <w:pPr>
        <w:pStyle w:val="FirstParagraph"/>
      </w:pPr>
      <w:r>
        <w:t xml:space="preserve">By signing below, both parties acknowledge and accept all terms, conditions, and obligations set forth in this Purchase Order for the engagement of the Special Education Teacher in Peru Lima. This document is executed in two (2) original copies, one for each party.</w:t>
      </w:r>
    </w:p>
    <w:bookmarkEnd w:id="31"/>
    <w:p>
      <w:pPr>
        <w:pStyle w:val="BodyText"/>
      </w:pPr>
      <w:r>
        <w:rPr>
          <w:bCs/>
          <w:b/>
        </w:rPr>
        <w:t xml:space="preserve">For the Purchasing Entity:</w:t>
      </w:r>
    </w:p>
    <w:p>
      <w:pPr>
        <w:pStyle w:val="BodyText"/>
      </w:pPr>
      <w:r>
        <w:rPr>
          <w:bCs/>
          <w:b/>
        </w:rPr>
        <w:t xml:space="preserve">Dr. María Elena Quispe Rojas</w:t>
      </w:r>
      <w:r>
        <w:br/>
      </w:r>
      <w:r>
        <w:t xml:space="preserve">Director General</w:t>
      </w:r>
      <w:r>
        <w:br/>
      </w:r>
      <w:r>
        <w:t xml:space="preserve">Instituto Educativo Inclusivo del Pacífico</w:t>
      </w:r>
      <w:r>
        <w:br/>
      </w:r>
      <w:r>
        <w:t xml:space="preserve">Lima, Peru</w:t>
      </w:r>
      <w:r>
        <w:br/>
      </w:r>
      <w:r>
        <w:t xml:space="preserve">Date: _______________</w:t>
      </w:r>
    </w:p>
    <w:p>
      <w:pPr>
        <w:pStyle w:val="BodyText"/>
      </w:pPr>
      <w:r>
        <w:rPr>
          <w:bCs/>
          <w:b/>
        </w:rPr>
        <w:t xml:space="preserve">For the Service Provider:</w:t>
      </w:r>
    </w:p>
    <w:p>
      <w:pPr>
        <w:pStyle w:val="BodyText"/>
      </w:pPr>
      <w:r>
        <w:rPr>
          <w:bCs/>
          <w:b/>
        </w:rPr>
        <w:t xml:space="preserve">Prof. Carlos Alberto Mendoza Huamán</w:t>
      </w:r>
      <w:r>
        <w:br/>
      </w:r>
      <w:r>
        <w:t xml:space="preserve">Special Education Teacher</w:t>
      </w:r>
      <w:r>
        <w:br/>
      </w:r>
      <w:r>
        <w:t xml:space="preserve">DNI: 43219876</w:t>
      </w:r>
      <w:r>
        <w:br/>
      </w:r>
      <w:r>
        <w:t xml:space="preserve">Lima, Peru</w:t>
      </w:r>
      <w:r>
        <w:br/>
      </w:r>
      <w:r>
        <w:t xml:space="preserve">Date: _______________</w:t>
      </w:r>
    </w:p>
    <w:p>
      <w:pPr>
        <w:pStyle w:val="BodyText"/>
      </w:pPr>
      <w:r>
        <w:t xml:space="preserve">Purchase Order PE-LIM-SET-2025-0047 | Instituto Educativo Inclusivo del Pacífico | Peru Lima</w:t>
      </w:r>
    </w:p>
    <w:p>
      <w:pPr>
        <w:pStyle w:val="BodyText"/>
      </w:pPr>
      <w:r>
        <w:t xml:space="preserve">This document is valid only when signed and stamped by both authorized parties. Unauthorized reproduction is prohibited.</w:t>
      </w:r>
    </w:p>
    <w:p>
      <w:pPr>
        <w:pStyle w:val="BodyText"/>
      </w:pPr>
      <w:r>
        <w:t xml:space="preserve">Document Reference: IEIP-PROC-2025-0047 | Classification: Institutional Procurement – Professional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Peru Lima</dc:title>
  <dc:creator/>
  <dc:language>en</dc:language>
  <cp:keywords/>
  <dcterms:created xsi:type="dcterms:W3CDTF">2026-10-10T03:44:35Z</dcterms:created>
  <dcterms:modified xsi:type="dcterms:W3CDTF">2026-10-10T03:44:35Z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