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Speech Therapist Professional Services Engagement</w:t>
      </w:r>
    </w:p>
    <w:p>
      <w:pPr>
        <w:pStyle w:val="BodyText"/>
      </w:pPr>
      <w:r>
        <w:t xml:space="preserve">United Arab Emirates – Dubai</w:t>
      </w:r>
    </w:p>
    <w:bookmarkEnd w:id="20"/>
    <w:p>
      <w:pPr>
        <w:pStyle w:val="BodyText"/>
      </w:pPr>
      <w:r>
        <w:rPr>
          <w:bCs/>
          <w:b/>
        </w:rPr>
        <w:t xml:space="preserve">Purchase Order No.:</w:t>
      </w:r>
      <w:r>
        <w:t xml:space="preserve"> </w:t>
      </w:r>
      <w:r>
        <w:t xml:space="preserve">PO-DXB-2025-04782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UAE Dirham (AED)</w:t>
      </w:r>
      <w:r>
        <w:br/>
      </w:r>
      <w:r>
        <w:rPr>
          <w:bCs/>
          <w:b/>
        </w:rPr>
        <w:t xml:space="preserve">Incoterms:</w:t>
      </w:r>
      <w:r>
        <w:t xml:space="preserve"> </w:t>
      </w:r>
      <w:r>
        <w:t xml:space="preserve">DDP Dubai</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 Noor Pediatric &amp; Developmental Care Center LLC</w:t>
            </w:r>
          </w:p>
        </w:tc>
      </w:tr>
      <w:tr>
        <w:tc>
          <w:tcPr/>
          <w:p>
            <w:pPr>
              <w:pStyle w:val="Compact"/>
              <w:jc w:val="left"/>
            </w:pPr>
            <w:r>
              <w:t xml:space="preserve">Address</w:t>
            </w:r>
          </w:p>
        </w:tc>
        <w:tc>
          <w:tcPr/>
          <w:p>
            <w:pPr>
              <w:pStyle w:val="Compact"/>
              <w:jc w:val="left"/>
            </w:pPr>
            <w:r>
              <w:t xml:space="preserve">Office 1204, Level 12, Marina Plaza Tower, Dubai Marina, United Arab Emirates Dubai</w:t>
            </w:r>
          </w:p>
        </w:tc>
      </w:tr>
      <w:tr>
        <w:tc>
          <w:tcPr/>
          <w:p>
            <w:pPr>
              <w:pStyle w:val="Compact"/>
              <w:jc w:val="left"/>
            </w:pPr>
            <w:r>
              <w:t xml:space="preserve">Trade License No.</w:t>
            </w:r>
          </w:p>
        </w:tc>
        <w:tc>
          <w:tcPr/>
          <w:p>
            <w:pPr>
              <w:pStyle w:val="Compact"/>
              <w:jc w:val="left"/>
            </w:pPr>
            <w:r>
              <w:t xml:space="preserve">DL-2019-448217</w:t>
            </w:r>
          </w:p>
        </w:tc>
      </w:tr>
      <w:tr>
        <w:tc>
          <w:tcPr/>
          <w:p>
            <w:pPr>
              <w:pStyle w:val="Compact"/>
              <w:jc w:val="left"/>
            </w:pPr>
            <w:r>
              <w:t xml:space="preserve">VAT Registration No.</w:t>
            </w:r>
          </w:p>
        </w:tc>
        <w:tc>
          <w:tcPr/>
          <w:p>
            <w:pPr>
              <w:pStyle w:val="Compact"/>
              <w:jc w:val="left"/>
            </w:pPr>
            <w:r>
              <w:t xml:space="preserve">100234567800003</w:t>
            </w:r>
          </w:p>
        </w:tc>
      </w:tr>
      <w:tr>
        <w:tc>
          <w:tcPr/>
          <w:p>
            <w:pPr>
              <w:pStyle w:val="Compact"/>
              <w:jc w:val="left"/>
            </w:pPr>
            <w:r>
              <w:t xml:space="preserve">Contact Person</w:t>
            </w:r>
          </w:p>
        </w:tc>
        <w:tc>
          <w:tcPr/>
          <w:p>
            <w:pPr>
              <w:pStyle w:val="Compact"/>
              <w:jc w:val="left"/>
            </w:pPr>
            <w:r>
              <w:t xml:space="preserve">Dr. Fatima Al Mansoori – Director of Clinical Operations</w:t>
            </w:r>
          </w:p>
        </w:tc>
      </w:tr>
      <w:tr>
        <w:tc>
          <w:tcPr/>
          <w:p>
            <w:pPr>
              <w:pStyle w:val="Compact"/>
              <w:jc w:val="left"/>
            </w:pPr>
            <w:r>
              <w:t xml:space="preserve">Email / Phone</w:t>
            </w:r>
          </w:p>
        </w:tc>
        <w:tc>
          <w:tcPr/>
          <w:p>
            <w:pPr>
              <w:pStyle w:val="Compact"/>
              <w:jc w:val="left"/>
            </w:pPr>
            <w:r>
              <w:t xml:space="preserve">operations@alnoorpediatrics.ae / +971 4 555 8821</w:t>
            </w:r>
          </w:p>
        </w:tc>
      </w:tr>
    </w:tbl>
    <w:p>
      <w:pPr>
        <w:pStyle w:val="BodyText"/>
      </w:pPr>
      <w:r>
        <w:t xml:space="preserve">2. SELLER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Ms. Sarah Elizabeth Thompson, M.S. CCC-SLP</w:t>
            </w:r>
          </w:p>
        </w:tc>
      </w:tr>
      <w:tr>
        <w:tc>
          <w:tcPr/>
          <w:p>
            <w:pPr>
              <w:pStyle w:val="Compact"/>
              <w:jc w:val="left"/>
            </w:pPr>
            <w:r>
              <w:t xml:space="preserve">Professional Title</w:t>
            </w:r>
          </w:p>
        </w:tc>
        <w:tc>
          <w:tcPr/>
          <w:p>
            <w:pPr>
              <w:pStyle w:val="Compact"/>
              <w:jc w:val="left"/>
            </w:pPr>
            <w:r>
              <w:t xml:space="preserve">Certified</w:t>
            </w:r>
            <w:r>
              <w:t xml:space="preserve"> </w:t>
            </w:r>
            <w:r>
              <w:t xml:space="preserve">Speech Therapist</w:t>
            </w:r>
            <w:r>
              <w:t xml:space="preserve"> </w:t>
            </w:r>
            <w:r>
              <w:t xml:space="preserve">(Licensed by Dubai Health Authority)</w:t>
            </w:r>
          </w:p>
        </w:tc>
      </w:tr>
      <w:tr>
        <w:tc>
          <w:tcPr/>
          <w:p>
            <w:pPr>
              <w:pStyle w:val="Compact"/>
              <w:jc w:val="left"/>
            </w:pPr>
            <w:r>
              <w:t xml:space="preserve">Address</w:t>
            </w:r>
          </w:p>
        </w:tc>
        <w:tc>
          <w:tcPr/>
          <w:p>
            <w:pPr>
              <w:pStyle w:val="Compact"/>
              <w:jc w:val="left"/>
            </w:pPr>
            <w:r>
              <w:t xml:space="preserve">Apartment 8B, Jumeirah Village Circle, Building 42, United Arab Emirates Dubai</w:t>
            </w:r>
          </w:p>
        </w:tc>
      </w:tr>
      <w:tr>
        <w:tc>
          <w:tcPr/>
          <w:p>
            <w:pPr>
              <w:pStyle w:val="Compact"/>
              <w:jc w:val="left"/>
            </w:pPr>
            <w:r>
              <w:t xml:space="preserve">Professional License No.</w:t>
            </w:r>
          </w:p>
        </w:tc>
        <w:tc>
          <w:tcPr/>
          <w:p>
            <w:pPr>
              <w:pStyle w:val="Compact"/>
              <w:jc w:val="left"/>
            </w:pPr>
            <w:r>
              <w:t xml:space="preserve">DHA-SP-2023-091456</w:t>
            </w:r>
          </w:p>
        </w:tc>
      </w:tr>
      <w:tr>
        <w:tc>
          <w:tcPr/>
          <w:p>
            <w:pPr>
              <w:pStyle w:val="Compact"/>
              <w:jc w:val="left"/>
            </w:pPr>
            <w:r>
              <w:t xml:space="preserve">Emirates ID</w:t>
            </w:r>
          </w:p>
        </w:tc>
        <w:tc>
          <w:tcPr/>
          <w:p>
            <w:pPr>
              <w:pStyle w:val="Compact"/>
              <w:jc w:val="left"/>
            </w:pPr>
            <w:r>
              <w:t xml:space="preserve">784-2023-0456789-1</w:t>
            </w:r>
          </w:p>
        </w:tc>
      </w:tr>
      <w:tr>
        <w:tc>
          <w:tcPr/>
          <w:p>
            <w:pPr>
              <w:pStyle w:val="Compact"/>
              <w:jc w:val="left"/>
            </w:pPr>
            <w:r>
              <w:t xml:space="preserve">Contact</w:t>
            </w:r>
          </w:p>
        </w:tc>
        <w:tc>
          <w:tcPr/>
          <w:p>
            <w:pPr>
              <w:pStyle w:val="Compact"/>
              <w:jc w:val="left"/>
            </w:pPr>
            <w:r>
              <w:t xml:space="preserve">sarah.thompson.slp@gmail.com / +971 50 774 3312</w:t>
            </w:r>
          </w:p>
        </w:tc>
      </w:tr>
    </w:tbl>
    <w:p>
      <w:pPr>
        <w:pStyle w:val="BodyText"/>
      </w:pPr>
      <w:r>
        <w:t xml:space="preserve">3. SCOPE OF SERVICES – SPEECH THERAPIST ENGAGEMENT</w:t>
      </w:r>
    </w:p>
    <w:p>
      <w:pPr>
        <w:pStyle w:val="BodyText"/>
      </w:pPr>
      <w:r>
        <w:t xml:space="preserve">This</w:t>
      </w:r>
      <w:r>
        <w:t xml:space="preserve"> </w:t>
      </w:r>
      <w:r>
        <w:t xml:space="preserve">Purchase Order</w:t>
      </w:r>
      <w:r>
        <w:t xml:space="preserve"> </w:t>
      </w:r>
      <w:r>
        <w:t xml:space="preserve">is issued by Al Noor Pediatric &amp; Developmental Care Center LLC to formally engage the services of a qualified</w:t>
      </w:r>
      <w:r>
        <w:t xml:space="preserve"> </w:t>
      </w:r>
      <w:r>
        <w:t xml:space="preserve">Speech Therapist</w:t>
      </w:r>
      <w:r>
        <w:t xml:space="preserve"> </w:t>
      </w:r>
      <w:r>
        <w:t xml:space="preserve">to deliver comprehensive speech-language pathology services to pediatric and adult patients at the facility located in</w:t>
      </w:r>
      <w:r>
        <w:t xml:space="preserve"> </w:t>
      </w:r>
      <w:r>
        <w:t xml:space="preserve">United Arab Emirates Dubai</w:t>
      </w:r>
      <w:r>
        <w:t xml:space="preserve">. The</w:t>
      </w:r>
      <w:r>
        <w:t xml:space="preserve"> </w:t>
      </w:r>
      <w:r>
        <w:t xml:space="preserve">Speech Therapist</w:t>
      </w:r>
      <w:r>
        <w:t xml:space="preserve"> </w:t>
      </w:r>
      <w:r>
        <w:t xml:space="preserve">shall be responsible for conducting initial assessments, developing individualized treatment plans, delivering therapy sessions, maintaining clinical documentation, and providing progress reports to referring physicians and guardians in full compliance with Dubai Health Authority (DHA) regulations and the facility's clinical governance policies.</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Initial Speech-Language Assessment &amp; Diagnostic Evaluation (per patient)</w:t>
            </w:r>
          </w:p>
        </w:tc>
        <w:tc>
          <w:tcPr/>
          <w:p>
            <w:pPr>
              <w:pStyle w:val="Compact"/>
              <w:jc w:val="left"/>
            </w:pPr>
            <w:r>
              <w:t xml:space="preserve">40</w:t>
            </w:r>
          </w:p>
        </w:tc>
        <w:tc>
          <w:tcPr/>
          <w:p>
            <w:pPr>
              <w:pStyle w:val="Compact"/>
              <w:jc w:val="left"/>
            </w:pPr>
            <w:r>
              <w:t xml:space="preserve">Assessments</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02</w:t>
            </w:r>
          </w:p>
        </w:tc>
        <w:tc>
          <w:tcPr/>
          <w:p>
            <w:pPr>
              <w:pStyle w:val="Compact"/>
              <w:jc w:val="left"/>
            </w:pPr>
            <w:r>
              <w:t xml:space="preserve">Individual Speech Therapy Session – 45 minutes (per session)</w:t>
            </w:r>
          </w:p>
        </w:tc>
        <w:tc>
          <w:tcPr/>
          <w:p>
            <w:pPr>
              <w:pStyle w:val="Compact"/>
              <w:jc w:val="left"/>
            </w:pPr>
            <w:r>
              <w:t xml:space="preserve">600</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210,000.00</w:t>
            </w:r>
          </w:p>
        </w:tc>
      </w:tr>
      <w:tr>
        <w:tc>
          <w:tcPr/>
          <w:p>
            <w:pPr>
              <w:pStyle w:val="Compact"/>
              <w:jc w:val="left"/>
            </w:pPr>
            <w:r>
              <w:t xml:space="preserve">03</w:t>
            </w:r>
          </w:p>
        </w:tc>
        <w:tc>
          <w:tcPr/>
          <w:p>
            <w:pPr>
              <w:pStyle w:val="Compact"/>
              <w:jc w:val="left"/>
            </w:pPr>
            <w:r>
              <w:t xml:space="preserve">Group Speech Therapy Session – 60 minutes (up to 4 patients per group)</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900.00</w:t>
            </w:r>
          </w:p>
        </w:tc>
        <w:tc>
          <w:tcPr/>
          <w:p>
            <w:pPr>
              <w:pStyle w:val="Compact"/>
              <w:jc w:val="left"/>
            </w:pPr>
            <w:r>
              <w:t xml:space="preserve">108,000.00</w:t>
            </w:r>
          </w:p>
        </w:tc>
      </w:tr>
      <w:tr>
        <w:tc>
          <w:tcPr/>
          <w:p>
            <w:pPr>
              <w:pStyle w:val="Compact"/>
              <w:jc w:val="left"/>
            </w:pPr>
            <w:r>
              <w:t xml:space="preserve">04</w:t>
            </w:r>
          </w:p>
        </w:tc>
        <w:tc>
          <w:tcPr/>
          <w:p>
            <w:pPr>
              <w:pStyle w:val="Compact"/>
              <w:jc w:val="left"/>
            </w:pPr>
            <w:r>
              <w:t xml:space="preserve">Monthly Progress Report &amp; Care Plan Update (per patient)</w:t>
            </w:r>
          </w:p>
        </w:tc>
        <w:tc>
          <w:tcPr/>
          <w:p>
            <w:pPr>
              <w:pStyle w:val="Compact"/>
              <w:jc w:val="left"/>
            </w:pPr>
            <w:r>
              <w:t xml:space="preserve">120</w:t>
            </w:r>
          </w:p>
        </w:tc>
        <w:tc>
          <w:tcPr/>
          <w:p>
            <w:pPr>
              <w:pStyle w:val="Compact"/>
              <w:jc w:val="left"/>
            </w:pPr>
            <w:r>
              <w:t xml:space="preserve">Reports</w:t>
            </w:r>
          </w:p>
        </w:tc>
        <w:tc>
          <w:tcPr/>
          <w:p>
            <w:pPr>
              <w:pStyle w:val="Compact"/>
              <w:jc w:val="left"/>
            </w:pPr>
            <w:r>
              <w:t xml:space="preserve">150.00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Parent/Caregiver Education Workshop (per workshop, up to 15 attendees)</w:t>
            </w:r>
          </w:p>
        </w:tc>
        <w:tc>
          <w:tcPr/>
          <w:p>
            <w:pPr>
              <w:pStyle w:val="Compact"/>
              <w:jc w:val="left"/>
            </w:pPr>
            <w:r>
              <w:t xml:space="preserve">12</w:t>
            </w:r>
          </w:p>
        </w:tc>
        <w:tc>
          <w:tcPr/>
          <w:p>
            <w:pPr>
              <w:pStyle w:val="Compact"/>
              <w:jc w:val="left"/>
            </w:pPr>
            <w:r>
              <w:t xml:space="preserve">Workshops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Telehealth Speech Therapy Consultation – 30 minutes (per consultation)</w:t>
            </w:r>
          </w:p>
        </w:tc>
        <w:tc>
          <w:tcPr/>
          <w:p>
            <w:pPr>
              <w:pStyle w:val="Compact"/>
              <w:jc w:val="left"/>
            </w:pPr>
            <w:r>
              <w:t xml:space="preserve">80</w:t>
            </w:r>
          </w:p>
        </w:tc>
        <w:tc>
          <w:tcPr/>
          <w:p>
            <w:pPr>
              <w:pStyle w:val="Compact"/>
              <w:jc w:val="left"/>
            </w:pPr>
            <w:r>
              <w:t xml:space="preserve">Consultations</w:t>
            </w:r>
          </w:p>
        </w:tc>
        <w:tc>
          <w:tcPr/>
          <w:p>
            <w:pPr>
              <w:pStyle w:val="Compact"/>
              <w:jc w:val="left"/>
            </w:pPr>
            <w:r>
              <w:t xml:space="preserve">250.00</w:t>
            </w:r>
          </w:p>
        </w:tc>
        <w:tc>
          <w:tcPr/>
          <w:p>
            <w:pPr>
              <w:pStyle w:val="Compact"/>
              <w:jc w:val="left"/>
            </w:pPr>
            <w:r>
              <w:t xml:space="preserve">20,000.00</w:t>
            </w:r>
          </w:p>
        </w:tc>
      </w:tr>
      <w:tr>
        <w:tc>
          <w:tcPr/>
          <w:p>
            <w:pPr>
              <w:pStyle w:val="Compact"/>
              <w:jc w:val="left"/>
            </w:pPr>
            <w:r>
              <w:t xml:space="preserve">07</w:t>
            </w:r>
          </w:p>
        </w:tc>
        <w:tc>
          <w:tcPr/>
          <w:p>
            <w:pPr>
              <w:pStyle w:val="Compact"/>
              <w:jc w:val="left"/>
            </w:pPr>
            <w:r>
              <w:t xml:space="preserve">Emergency / Urgent Speech Therapy Referral Response (per occurrence)</w:t>
            </w:r>
          </w:p>
        </w:tc>
        <w:tc>
          <w:tcPr/>
          <w:p>
            <w:pPr>
              <w:pStyle w:val="Compact"/>
              <w:jc w:val="left"/>
            </w:pPr>
            <w:r>
              <w:t xml:space="preserve">10</w:t>
            </w:r>
          </w:p>
        </w:tc>
        <w:tc>
          <w:tcPr/>
          <w:p>
            <w:pPr>
              <w:pStyle w:val="Compact"/>
              <w:jc w:val="left"/>
            </w:pPr>
            <w:r>
              <w:t xml:space="preserve">Occurrences</w:t>
            </w:r>
          </w:p>
        </w:tc>
        <w:tc>
          <w:tcPr/>
          <w:p>
            <w:pPr>
              <w:pStyle w:val="Compact"/>
              <w:jc w:val="left"/>
            </w:pPr>
            <w:r>
              <w:t xml:space="preserve">500.00</w:t>
            </w:r>
          </w:p>
        </w:tc>
        <w:tc>
          <w:tcPr/>
          <w:p>
            <w:pPr>
              <w:pStyle w:val="Compact"/>
              <w:jc w:val="left"/>
            </w:pPr>
            <w:r>
              <w:t xml:space="preserve">5,000.00</w:t>
            </w:r>
          </w:p>
        </w:tc>
      </w:tr>
      <w:tr>
        <w:tc>
          <w:tcPr>
            <w:gridSpan w:val="5"/>
          </w:tcPr>
          <w:p>
            <w:pPr>
              <w:pStyle w:val="Compact"/>
              <w:jc w:val="right"/>
            </w:pPr>
            <w:r>
              <w:t xml:space="preserve">SUBTOTAL</w:t>
            </w:r>
          </w:p>
        </w:tc>
        <w:tc>
          <w:tcPr/>
          <w:p>
            <w:pPr>
              <w:pStyle w:val="Compact"/>
              <w:jc w:val="left"/>
            </w:pPr>
            <w:r>
              <w:t xml:space="preserve">409,400.00</w:t>
            </w:r>
          </w:p>
        </w:tc>
      </w:tr>
      <w:tr>
        <w:tc>
          <w:tcPr>
            <w:gridSpan w:val="5"/>
          </w:tcPr>
          <w:p>
            <w:pPr>
              <w:pStyle w:val="Compact"/>
              <w:jc w:val="right"/>
            </w:pPr>
            <w:r>
              <w:t xml:space="preserve">VAT (5% – United Arab Emirates)</w:t>
            </w:r>
          </w:p>
        </w:tc>
        <w:tc>
          <w:tcPr/>
          <w:p>
            <w:pPr>
              <w:pStyle w:val="Compact"/>
              <w:jc w:val="left"/>
            </w:pPr>
            <w:r>
              <w:t xml:space="preserve">20,470.00</w:t>
            </w:r>
          </w:p>
        </w:tc>
      </w:tr>
      <w:tr>
        <w:tc>
          <w:tcPr>
            <w:gridSpan w:val="5"/>
          </w:tcPr>
          <w:p>
            <w:pPr>
              <w:pStyle w:val="Compact"/>
              <w:jc w:val="right"/>
            </w:pPr>
            <w:r>
              <w:t xml:space="preserve">GRAND TOTAL (AED)</w:t>
            </w:r>
          </w:p>
        </w:tc>
        <w:tc>
          <w:tcPr/>
          <w:p>
            <w:pPr>
              <w:pStyle w:val="Compact"/>
              <w:jc w:val="left"/>
            </w:pPr>
            <w:r>
              <w:t xml:space="preserve">429,870.00</w:t>
            </w:r>
          </w:p>
        </w:tc>
      </w:tr>
    </w:tbl>
    <w:p>
      <w:pPr>
        <w:pStyle w:val="BodyText"/>
      </w:pPr>
      <w:r>
        <w:t xml:space="preserve">5. TERMS AND CONDITIONS</w:t>
      </w:r>
    </w:p>
    <w:p>
      <w:pPr>
        <w:pStyle w:val="BodyText"/>
      </w:pPr>
      <w:r>
        <w:rPr>
          <w:bCs/>
          <w:b/>
        </w:rPr>
        <w:t xml:space="preserve">5.1</w:t>
      </w:r>
      <w:r>
        <w:t xml:space="preserve"> </w:t>
      </w:r>
      <w:r>
        <w:t xml:space="preserve">This</w:t>
      </w:r>
      <w:r>
        <w:t xml:space="preserve"> </w:t>
      </w:r>
      <w:r>
        <w:t xml:space="preserve">Purchase Order</w:t>
      </w:r>
      <w:r>
        <w:t xml:space="preserve"> </w:t>
      </w:r>
      <w:r>
        <w:t xml:space="preserve">constitutes a binding agreement between the Buyer and the</w:t>
      </w:r>
      <w:r>
        <w:t xml:space="preserve"> </w:t>
      </w:r>
      <w:r>
        <w:t xml:space="preserve">Speech Therapist</w:t>
      </w:r>
      <w:r>
        <w:t xml:space="preserve"> </w:t>
      </w:r>
      <w:r>
        <w:t xml:space="preserve">for the provision of speech-language pathology services within the jurisdiction of</w:t>
      </w:r>
      <w:r>
        <w:t xml:space="preserve"> </w:t>
      </w:r>
      <w:r>
        <w:t xml:space="preserve">United Arab Emirates Dubai</w:t>
      </w:r>
      <w:r>
        <w:t xml:space="preserve">. All services shall be rendered in accordance with the standards set forth by the Dubai Health Authority and the American Speech-Language-Hearing Association (ASHA) guidelines.</w:t>
      </w:r>
    </w:p>
    <w:p>
      <w:pPr>
        <w:pStyle w:val="BodyText"/>
      </w:pPr>
      <w:r>
        <w:rPr>
          <w:bCs/>
          <w:b/>
        </w:rPr>
        <w:t xml:space="preserve">5.2</w:t>
      </w:r>
      <w:r>
        <w:t xml:space="preserve"> </w:t>
      </w:r>
      <w:r>
        <w:t xml:space="preserve">The</w:t>
      </w:r>
      <w:r>
        <w:t xml:space="preserve"> </w:t>
      </w:r>
      <w:r>
        <w:t xml:space="preserve">Speech Therapist</w:t>
      </w:r>
      <w:r>
        <w:t xml:space="preserve"> </w:t>
      </w:r>
      <w:r>
        <w:t xml:space="preserve">shall maintain valid professional licensure, malpractice insurance (minimum coverage of AED 2,000,000), and all required certifications throughout the duration of this engagement. Any lapse in licensure shall result in immediate suspension of services.</w:t>
      </w:r>
    </w:p>
    <w:p>
      <w:pPr>
        <w:pStyle w:val="BodyText"/>
      </w:pPr>
      <w:r>
        <w:rPr>
          <w:bCs/>
          <w:b/>
        </w:rPr>
        <w:t xml:space="preserve">5.3</w:t>
      </w:r>
      <w:r>
        <w:t xml:space="preserve"> </w:t>
      </w:r>
      <w:r>
        <w:t xml:space="preserve">Payment shall be processed within thirty (30) calendar days from the date of receipt of a valid tax invoice. Invoices must reference this</w:t>
      </w:r>
      <w:r>
        <w:t xml:space="preserve"> </w:t>
      </w:r>
      <w:r>
        <w:t xml:space="preserve">Purchase Order</w:t>
      </w:r>
      <w:r>
        <w:t xml:space="preserve"> </w:t>
      </w:r>
      <w:r>
        <w:t xml:space="preserve">number (PO-DXB-2025-04782) and include the VAT registration number of the</w:t>
      </w:r>
      <w:r>
        <w:t xml:space="preserve"> </w:t>
      </w:r>
      <w:r>
        <w:t xml:space="preserve">Speech Therapist</w:t>
      </w:r>
      <w:r>
        <w:t xml:space="preserve">.</w:t>
      </w:r>
    </w:p>
    <w:p>
      <w:pPr>
        <w:pStyle w:val="BodyText"/>
      </w:pPr>
      <w:r>
        <w:rPr>
          <w:bCs/>
          <w:b/>
        </w:rPr>
        <w:t xml:space="preserve">5.4</w:t>
      </w:r>
      <w:r>
        <w:t xml:space="preserve"> </w:t>
      </w:r>
      <w:r>
        <w:t xml:space="preserve">All patient records, assessment data, and clinical documentation generated during the course of this engagement shall remain the exclusive property of Al Noor Pediatric &amp; Developmental Care Center LLC and shall be stored in compliance with UAE Federal Decree-Law No. 45 of 2021 on the Protection of Personal Data.</w:t>
      </w:r>
    </w:p>
    <w:p>
      <w:pPr>
        <w:pStyle w:val="BodyText"/>
      </w:pPr>
      <w:r>
        <w:rPr>
          <w:bCs/>
          <w:b/>
        </w:rPr>
        <w:t xml:space="preserve">5.5</w:t>
      </w:r>
      <w:r>
        <w:t xml:space="preserve"> </w:t>
      </w:r>
      <w:r>
        <w:t xml:space="preserve">The</w:t>
      </w:r>
      <w:r>
        <w:t xml:space="preserve"> </w:t>
      </w:r>
      <w:r>
        <w:t xml:space="preserve">Speech Therapist</w:t>
      </w:r>
      <w:r>
        <w:t xml:space="preserve"> </w:t>
      </w:r>
      <w:r>
        <w:t xml:space="preserve">shall adhere to the facility's code of conduct, dress code, and operational hours (Sunday to Thursday, 08:00–18:00 GST). Any deviation requires prior written approval from the Director of Clinical Operations.</w:t>
      </w:r>
    </w:p>
    <w:p>
      <w:pPr>
        <w:pStyle w:val="BodyText"/>
      </w:pPr>
      <w:r>
        <w:rPr>
          <w:bCs/>
          <w:b/>
        </w:rPr>
        <w:t xml:space="preserve">5.6</w:t>
      </w:r>
      <w:r>
        <w:t xml:space="preserve"> </w:t>
      </w:r>
      <w:r>
        <w:t xml:space="preserve">This</w:t>
      </w:r>
      <w:r>
        <w:t xml:space="preserve"> </w:t>
      </w:r>
      <w:r>
        <w:t xml:space="preserve">Purchase Order</w:t>
      </w:r>
      <w:r>
        <w:t xml:space="preserve"> </w:t>
      </w:r>
      <w:r>
        <w:t xml:space="preserve">is valid for a period of three (3) months from the date of issue. Upon expiry, either party may initiate a renewal process by submitting a written notice no later than fourteen (14) days before the expiration date.</w:t>
      </w:r>
    </w:p>
    <w:p>
      <w:pPr>
        <w:pStyle w:val="BodyText"/>
      </w:pPr>
      <w:r>
        <w:rPr>
          <w:bCs/>
          <w:b/>
        </w:rPr>
        <w:t xml:space="preserve">5.7</w:t>
      </w:r>
      <w:r>
        <w:t xml:space="preserve"> </w:t>
      </w:r>
      <w:r>
        <w:t xml:space="preserve">In the event of a dispute arising from this</w:t>
      </w:r>
      <w:r>
        <w:t xml:space="preserve"> </w:t>
      </w:r>
      <w:r>
        <w:t xml:space="preserve">Purchase Order</w:t>
      </w:r>
      <w:r>
        <w:t xml:space="preserve">, both parties agree to first attempt resolution through good-faith negotiation. Should negotiation fail, the matter shall be referred to the Dubai Courts or, at the Buyer's discretion, to the Dubai International Financial Centre (DIFC) Courts for arbitration in accordance with UAE law.</w:t>
      </w:r>
    </w:p>
    <w:p>
      <w:pPr>
        <w:pStyle w:val="BodyText"/>
      </w:pPr>
      <w:r>
        <w:rPr>
          <w:bCs/>
          <w:b/>
        </w:rPr>
        <w:t xml:space="preserve">5.8</w:t>
      </w:r>
      <w:r>
        <w:t xml:space="preserve"> </w:t>
      </w:r>
      <w:r>
        <w:t xml:space="preserve">The</w:t>
      </w:r>
      <w:r>
        <w:t xml:space="preserve"> </w:t>
      </w:r>
      <w:r>
        <w:t xml:space="preserve">Speech Therapist</w:t>
      </w:r>
      <w:r>
        <w:t xml:space="preserve"> </w:t>
      </w:r>
      <w:r>
        <w:t xml:space="preserve">shall not subcontract or delegate any portion of the services outlined in this</w:t>
      </w:r>
      <w:r>
        <w:t xml:space="preserve"> </w:t>
      </w:r>
      <w:r>
        <w:t xml:space="preserve">Purchase Order</w:t>
      </w:r>
      <w:r>
        <w:t xml:space="preserve"> </w:t>
      </w:r>
      <w:r>
        <w:t xml:space="preserve">without the prior written consent of the Buyer.</w:t>
      </w:r>
    </w:p>
    <w:p>
      <w:pPr>
        <w:pStyle w:val="BodyText"/>
      </w:pPr>
      <w:r>
        <w:t xml:space="preserve">6.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Commencement of Services</w:t>
            </w:r>
          </w:p>
        </w:tc>
        <w:tc>
          <w:tcPr/>
          <w:p>
            <w:pPr>
              <w:pStyle w:val="Compact"/>
              <w:jc w:val="left"/>
            </w:pPr>
            <w:r>
              <w:t xml:space="preserve">01 July 2025</w:t>
            </w:r>
          </w:p>
        </w:tc>
        <w:tc>
          <w:tcPr/>
          <w:p>
            <w:pPr>
              <w:pStyle w:val="Compact"/>
              <w:jc w:val="left"/>
            </w:pPr>
            <w:r>
              <w:t xml:space="preserve">First patient assessment conducted</w:t>
            </w:r>
          </w:p>
        </w:tc>
      </w:tr>
      <w:tr>
        <w:tc>
          <w:tcPr/>
          <w:p>
            <w:pPr>
              <w:pStyle w:val="Compact"/>
              <w:jc w:val="left"/>
            </w:pPr>
            <w:r>
              <w:t xml:space="preserve">Mid-Period Review</w:t>
            </w:r>
          </w:p>
        </w:tc>
        <w:tc>
          <w:tcPr/>
          <w:p>
            <w:pPr>
              <w:pStyle w:val="Compact"/>
              <w:jc w:val="left"/>
            </w:pPr>
            <w:r>
              <w:t xml:space="preserve">15 August 2025</w:t>
            </w:r>
          </w:p>
        </w:tc>
        <w:tc>
          <w:tcPr/>
          <w:p>
            <w:pPr>
              <w:pStyle w:val="Compact"/>
              <w:jc w:val="left"/>
            </w:pPr>
            <w:r>
              <w:t xml:space="preserve">Interim performance report to Buyer</w:t>
            </w:r>
          </w:p>
        </w:tc>
      </w:tr>
      <w:tr>
        <w:tc>
          <w:tcPr/>
          <w:p>
            <w:pPr>
              <w:pStyle w:val="Compact"/>
              <w:jc w:val="left"/>
            </w:pPr>
            <w:r>
              <w:t xml:space="preserve">Completion of All Services</w:t>
            </w:r>
          </w:p>
        </w:tc>
        <w:tc>
          <w:tcPr/>
          <w:p>
            <w:pPr>
              <w:pStyle w:val="Compact"/>
              <w:jc w:val="left"/>
            </w:pPr>
            <w:r>
              <w:t xml:space="preserve">30 September 2025</w:t>
            </w:r>
          </w:p>
        </w:tc>
        <w:tc>
          <w:tcPr/>
          <w:p>
            <w:pPr>
              <w:pStyle w:val="Compact"/>
              <w:jc w:val="left"/>
            </w:pPr>
            <w:r>
              <w:t xml:space="preserve">Final comprehensive report &amp; handover</w:t>
            </w:r>
          </w:p>
        </w:tc>
      </w:tr>
    </w:tbl>
    <w:p>
      <w:pPr>
        <w:pStyle w:val="BodyText"/>
      </w:pPr>
      <w:r>
        <w:rPr>
          <w:bCs/>
          <w:b/>
        </w:rPr>
        <w:t xml:space="preserve">For and on behalf of the Buyer:</w:t>
      </w:r>
    </w:p>
    <w:p>
      <w:pPr>
        <w:pStyle w:val="BodyText"/>
      </w:pPr>
      <w:r>
        <w:t xml:space="preserve">Al Noor Pediatric &amp; Developmental Care Center LLC</w:t>
      </w:r>
    </w:p>
    <w:p>
      <w:pPr>
        <w:pStyle w:val="BodyText"/>
      </w:pPr>
      <w:r>
        <w:t xml:space="preserve">Dr. Fatima Al Mansoori</w:t>
      </w:r>
      <w:r>
        <w:br/>
      </w:r>
      <w:r>
        <w:t xml:space="preserve">Director of Clinical Operations</w:t>
      </w:r>
      <w:r>
        <w:br/>
      </w:r>
      <w:r>
        <w:t xml:space="preserve">Date: _______________</w:t>
      </w:r>
    </w:p>
    <w:p>
      <w:pPr>
        <w:pStyle w:val="BodyText"/>
      </w:pPr>
      <w:r>
        <w:rPr>
          <w:bCs/>
          <w:b/>
        </w:rPr>
        <w:t xml:space="preserve">For and on behalf of the Speech Therapist:</w:t>
      </w:r>
    </w:p>
    <w:p>
      <w:pPr>
        <w:pStyle w:val="BodyText"/>
      </w:pPr>
      <w:r>
        <w:t xml:space="preserve">Ms. Sarah Elizabeth Thompson, M.S. CCC-SLP</w:t>
      </w:r>
    </w:p>
    <w:p>
      <w:pPr>
        <w:pStyle w:val="BodyText"/>
      </w:pPr>
      <w:r>
        <w:t xml:space="preserve">Sarah Elizabeth Thompson</w:t>
      </w:r>
      <w:r>
        <w:br/>
      </w:r>
      <w:r>
        <w:t xml:space="preserve">Licensed Speech Therapist – DHA</w:t>
      </w:r>
      <w:r>
        <w:br/>
      </w:r>
      <w:r>
        <w:t xml:space="preserve">Date: _______________</w:t>
      </w:r>
    </w:p>
    <w:p>
      <w:pPr>
        <w:pStyle w:val="BodyText"/>
      </w:pPr>
      <w:r>
        <w:t xml:space="preserve">This Purchase Order is issued in the United Arab Emirates Dubai and governed by the laws of the United Arab Emirates. All communications regarding this document shall be directed to the Buyer's office at Dubai Marina, United Arab Emirates Dubai. This document is valid only when signed by both authorized parties and stamped with the official company seal.</w:t>
      </w:r>
    </w:p>
    <w:p>
      <w:pPr>
        <w:pStyle w:val="BodyText"/>
      </w:pPr>
      <w:r>
        <w:t xml:space="preserve">Document Reference: PO-DXB-2025-04782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United Arab Emirates Dubai</dc:title>
  <dc:creator/>
  <dc:language>en</dc:language>
  <cp:keywords/>
  <dcterms:created xsi:type="dcterms:W3CDTF">2026-10-10T04:26:29Z</dcterms:created>
  <dcterms:modified xsi:type="dcterms:W3CDTF">2026-10-10T04:26:29Z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