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Surgical Services Procurement – Australia Brisbane</w:t>
      </w:r>
    </w:p>
    <w:bookmarkEnd w:id="20"/>
    <w:p>
      <w:pPr>
        <w:pStyle w:val="BodyText"/>
      </w:pPr>
      <w:r>
        <w:rPr>
          <w:bCs/>
          <w:b/>
        </w:rPr>
        <w:t xml:space="preserve">PO Number:</w:t>
      </w:r>
      <w:r>
        <w:t xml:space="preserve"> </w:t>
      </w:r>
      <w:r>
        <w:t xml:space="preserve">PO-BNE-2025-04872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Queensland Health – Brisbane Surgical Centre</w:t>
      </w:r>
    </w:p>
    <w:p>
      <w:pPr>
        <w:pStyle w:val="BodyText"/>
      </w:pPr>
      <w:r>
        <w:t xml:space="preserve">42 George Street, Brisbane, QLD 4000, Australia</w:t>
      </w:r>
    </w:p>
    <w:p>
      <w:pPr>
        <w:pStyle w:val="BodyText"/>
      </w:pPr>
      <w:r>
        <w:t xml:space="preserve">ABN: 52 004 500 004</w:t>
      </w:r>
    </w:p>
    <w:p>
      <w:pPr>
        <w:pStyle w:val="BodyText"/>
      </w:pPr>
      <w:r>
        <w:t xml:space="preserve">Contact: Procurement Office, Level 3</w:t>
      </w:r>
    </w:p>
    <w:p>
      <w:pPr>
        <w:pStyle w:val="BodyText"/>
      </w:pPr>
      <w:r>
        <w:t xml:space="preserve">Email: procurement@brisbanesurgical.qld.gov.au</w:t>
      </w:r>
    </w:p>
    <w:p>
      <w:pPr>
        <w:pStyle w:val="BodyText"/>
      </w:pPr>
      <w:r>
        <w:t xml:space="preserve">Phone: +61 7 3841 7000</w:t>
      </w:r>
    </w:p>
    <w:bookmarkEnd w:id="21"/>
    <w:bookmarkStart w:id="22" w:name="supplier-service-provider"/>
    <w:p>
      <w:pPr>
        <w:pStyle w:val="Heading3"/>
      </w:pPr>
      <w:r>
        <w:t xml:space="preserve">Supplier / Service Provider</w:t>
      </w:r>
    </w:p>
    <w:p>
      <w:pPr>
        <w:pStyle w:val="FirstParagraph"/>
      </w:pPr>
      <w:r>
        <w:rPr>
          <w:bCs/>
          <w:b/>
        </w:rPr>
        <w:t xml:space="preserve">Dr. Marcus A. Whitfield, FRACS, FACS</w:t>
      </w:r>
    </w:p>
    <w:p>
      <w:pPr>
        <w:pStyle w:val="BodyText"/>
      </w:pPr>
      <w:r>
        <w:t xml:space="preserve">Consultant Surgeon – General &amp; Vascular Surgery</w:t>
      </w:r>
    </w:p>
    <w:p>
      <w:pPr>
        <w:pStyle w:val="BodyText"/>
      </w:pPr>
      <w:r>
        <w:t xml:space="preserve">Brisbane Specialist Surgical Group</w:t>
      </w:r>
    </w:p>
    <w:p>
      <w:pPr>
        <w:pStyle w:val="BodyText"/>
      </w:pPr>
      <w:r>
        <w:t xml:space="preserve">18 Creek Street, Brisbane, QLD 4000, Australia</w:t>
      </w:r>
    </w:p>
    <w:p>
      <w:pPr>
        <w:pStyle w:val="BodyText"/>
      </w:pPr>
      <w:r>
        <w:t xml:space="preserve">ARBN: 0001234567</w:t>
      </w:r>
    </w:p>
    <w:p>
      <w:pPr>
        <w:pStyle w:val="BodyText"/>
      </w:pPr>
      <w:r>
        <w:t xml:space="preserve">Email: m.whitfield@brisbanespecialists.com.au</w:t>
      </w:r>
    </w:p>
    <w:p>
      <w:pPr>
        <w:pStyle w:val="BodyText"/>
      </w:pPr>
      <w:r>
        <w:t xml:space="preserve">Phone: +61 7 3221 4500</w:t>
      </w:r>
    </w:p>
    <w:bookmarkEnd w:id="22"/>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Queensland Health – Brisbane Surgical Centre to formally engage the services of</w:t>
      </w:r>
      <w:r>
        <w:t xml:space="preserve"> </w:t>
      </w:r>
      <w:r>
        <w:t xml:space="preserve">Surgeon</w:t>
      </w:r>
      <w:r>
        <w:t xml:space="preserve"> </w:t>
      </w:r>
      <w:r>
        <w:t xml:space="preserve">Dr. Marcus A. Whitfield for a defined period of surgical procedures, consultations, and related clinical services to be delivered at the Brisbane Surgical Centre and affiliated hospitals within the</w:t>
      </w:r>
      <w:r>
        <w:t xml:space="preserve"> </w:t>
      </w:r>
      <w:r>
        <w:t xml:space="preserve">Australia Brisbane</w:t>
      </w:r>
      <w:r>
        <w:t xml:space="preserve"> </w:t>
      </w:r>
      <w:r>
        <w:t xml:space="preserve">metropolitan region. This document constitutes a binding procurement instrument under the Queensland Government Procurement Policy and the Australian Competition and Consumer Act 2010 (Cth).</w:t>
      </w:r>
    </w:p>
    <w:p>
      <w:pPr>
        <w:pStyle w:val="BodyText"/>
      </w:pPr>
      <w:r>
        <w:t xml:space="preserve">The</w:t>
      </w:r>
      <w:r>
        <w:t xml:space="preserve"> </w:t>
      </w:r>
      <w:r>
        <w:t xml:space="preserve">Surgeon</w:t>
      </w:r>
      <w:r>
        <w:t xml:space="preserve"> </w:t>
      </w:r>
      <w:r>
        <w:t xml:space="preserve">engaged under this</w:t>
      </w:r>
      <w:r>
        <w:t xml:space="preserve"> </w:t>
      </w:r>
      <w:r>
        <w:t xml:space="preserve">Purchase Order</w:t>
      </w:r>
      <w:r>
        <w:t xml:space="preserve"> </w:t>
      </w:r>
      <w:r>
        <w:t xml:space="preserve">shall perform all surgical interventions in strict accordance with the Australian Commission on Safety and Quality in Health Care (ACSQHC) National Safety and Quality Health Service (NSQHS) Standards, the Royal Australasian College of Surgeons (RACS) Code of Ethics, and all applicable Queensland Health clinical governance frameworks. All services rendered under this</w:t>
      </w:r>
      <w:r>
        <w:t xml:space="preserve"> </w:t>
      </w:r>
      <w:r>
        <w:t xml:space="preserve">Purchase Order</w:t>
      </w:r>
      <w:r>
        <w:t xml:space="preserve"> </w:t>
      </w:r>
      <w:r>
        <w:t xml:space="preserve">shall take place within the</w:t>
      </w:r>
      <w:r>
        <w:t xml:space="preserve"> </w:t>
      </w:r>
      <w:r>
        <w:t xml:space="preserve">Australia Brisbane</w:t>
      </w:r>
      <w:r>
        <w:t xml:space="preserve"> </w:t>
      </w:r>
      <w:r>
        <w:t xml:space="preserve">health district, specifically at the Brisbane Surgical Centre, the Royal Brisbane and Women's Hospital (RBWH), and the Princess Alexandra Hospital (PAH) as directed by the clinical scheduling office.</w:t>
      </w:r>
    </w:p>
    <w:p>
      <w:pPr>
        <w:pStyle w:val="BodyText"/>
      </w:pPr>
      <w:r>
        <w:t xml:space="preserve">Line Items – Surgical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Consultant Surgeon – Laparoscopic Cholecystectomy (per procedure, including pre-operative assessment, intra-operative care, and 48-hour post-operative review)</w:t>
            </w:r>
          </w:p>
        </w:tc>
        <w:tc>
          <w:tcPr/>
          <w:p>
            <w:pPr>
              <w:pStyle w:val="Compact"/>
              <w:jc w:val="left"/>
            </w:pPr>
            <w:r>
              <w:t xml:space="preserve">24</w:t>
            </w:r>
          </w:p>
        </w:tc>
        <w:tc>
          <w:tcPr/>
          <w:p>
            <w:pPr>
              <w:pStyle w:val="Compact"/>
              <w:jc w:val="left"/>
            </w:pPr>
            <w:r>
              <w:t xml:space="preserve">Procedures</w:t>
            </w:r>
          </w:p>
        </w:tc>
        <w:tc>
          <w:tcPr/>
          <w:p>
            <w:pPr>
              <w:pStyle w:val="Compact"/>
              <w:jc w:val="left"/>
            </w:pPr>
            <w:r>
              <w:t xml:space="preserve">3,850.00</w:t>
            </w:r>
          </w:p>
        </w:tc>
        <w:tc>
          <w:tcPr/>
          <w:p>
            <w:pPr>
              <w:pStyle w:val="Compact"/>
              <w:jc w:val="left"/>
            </w:pPr>
            <w:r>
              <w:t xml:space="preserve">92,400.00</w:t>
            </w:r>
          </w:p>
        </w:tc>
      </w:tr>
      <w:tr>
        <w:tc>
          <w:tcPr/>
          <w:p>
            <w:pPr>
              <w:pStyle w:val="Compact"/>
              <w:jc w:val="left"/>
            </w:pPr>
            <w:r>
              <w:t xml:space="preserve">02</w:t>
            </w:r>
          </w:p>
        </w:tc>
        <w:tc>
          <w:tcPr/>
          <w:p>
            <w:pPr>
              <w:pStyle w:val="Compact"/>
              <w:jc w:val="left"/>
            </w:pPr>
            <w:r>
              <w:t xml:space="preserve">Consultant Surgeon – Open Vascular Bypass Surgery (per procedure, including arterial access, graft placement, and 72-hour post-operative monitoring)</w:t>
            </w:r>
          </w:p>
        </w:tc>
        <w:tc>
          <w:tcPr/>
          <w:p>
            <w:pPr>
              <w:pStyle w:val="Compact"/>
              <w:jc w:val="left"/>
            </w:pPr>
            <w:r>
              <w:t xml:space="preserve">8</w:t>
            </w:r>
          </w:p>
        </w:tc>
        <w:tc>
          <w:tcPr/>
          <w:p>
            <w:pPr>
              <w:pStyle w:val="Compact"/>
              <w:jc w:val="left"/>
            </w:pPr>
            <w:r>
              <w:t xml:space="preserve">Procedures</w:t>
            </w:r>
          </w:p>
        </w:tc>
        <w:tc>
          <w:tcPr/>
          <w:p>
            <w:pPr>
              <w:pStyle w:val="Compact"/>
              <w:jc w:val="left"/>
            </w:pPr>
            <w:r>
              <w:t xml:space="preserve">7,200.00</w:t>
            </w:r>
          </w:p>
        </w:tc>
        <w:tc>
          <w:tcPr/>
          <w:p>
            <w:pPr>
              <w:pStyle w:val="Compact"/>
              <w:jc w:val="left"/>
            </w:pPr>
            <w:r>
              <w:t xml:space="preserve">57,600.00</w:t>
            </w:r>
          </w:p>
        </w:tc>
      </w:tr>
      <w:tr>
        <w:tc>
          <w:tcPr/>
          <w:p>
            <w:pPr>
              <w:pStyle w:val="Compact"/>
              <w:jc w:val="left"/>
            </w:pPr>
            <w:r>
              <w:t xml:space="preserve">03</w:t>
            </w:r>
          </w:p>
        </w:tc>
        <w:tc>
          <w:tcPr/>
          <w:p>
            <w:pPr>
              <w:pStyle w:val="Compact"/>
              <w:jc w:val="left"/>
            </w:pPr>
            <w:r>
              <w:t xml:space="preserve">Surgeon – Elective Hernia Repair (Inguinal, per procedure, including mesh implantation and follow-up consultation at 6 weeks)</w:t>
            </w:r>
          </w:p>
        </w:tc>
        <w:tc>
          <w:tcPr/>
          <w:p>
            <w:pPr>
              <w:pStyle w:val="Compact"/>
              <w:jc w:val="left"/>
            </w:pPr>
            <w:r>
              <w:t xml:space="preserve">36</w:t>
            </w:r>
          </w:p>
        </w:tc>
        <w:tc>
          <w:tcPr/>
          <w:p>
            <w:pPr>
              <w:pStyle w:val="Compact"/>
              <w:jc w:val="left"/>
            </w:pPr>
            <w:r>
              <w:t xml:space="preserve">Procedures</w:t>
            </w:r>
          </w:p>
        </w:tc>
        <w:tc>
          <w:tcPr/>
          <w:p>
            <w:pPr>
              <w:pStyle w:val="Compact"/>
              <w:jc w:val="left"/>
            </w:pPr>
            <w:r>
              <w:t xml:space="preserve">2,950.00</w:t>
            </w:r>
          </w:p>
        </w:tc>
        <w:tc>
          <w:tcPr/>
          <w:p>
            <w:pPr>
              <w:pStyle w:val="Compact"/>
              <w:jc w:val="left"/>
            </w:pPr>
            <w:r>
              <w:t xml:space="preserve">106,200.00</w:t>
            </w:r>
          </w:p>
        </w:tc>
      </w:tr>
      <w:tr>
        <w:tc>
          <w:tcPr/>
          <w:p>
            <w:pPr>
              <w:pStyle w:val="Compact"/>
              <w:jc w:val="left"/>
            </w:pPr>
            <w:r>
              <w:t xml:space="preserve">04</w:t>
            </w:r>
          </w:p>
        </w:tc>
        <w:tc>
          <w:tcPr/>
          <w:p>
            <w:pPr>
              <w:pStyle w:val="Compact"/>
              <w:jc w:val="left"/>
            </w:pPr>
            <w:r>
              <w:t xml:space="preserve">Surgeon – Emergency Appendectomy (per procedure, including on-call availability, operative intervention, and post-operative care within Australia Brisbane facilities)</w:t>
            </w:r>
          </w:p>
        </w:tc>
        <w:tc>
          <w:tcPr/>
          <w:p>
            <w:pPr>
              <w:pStyle w:val="Compact"/>
              <w:jc w:val="left"/>
            </w:pPr>
            <w:r>
              <w:t xml:space="preserve">12</w:t>
            </w:r>
          </w:p>
        </w:tc>
        <w:tc>
          <w:tcPr/>
          <w:p>
            <w:pPr>
              <w:pStyle w:val="Compact"/>
              <w:jc w:val="left"/>
            </w:pPr>
            <w:r>
              <w:t xml:space="preserve">Procedures</w:t>
            </w:r>
          </w:p>
        </w:tc>
        <w:tc>
          <w:tcPr/>
          <w:p>
            <w:pPr>
              <w:pStyle w:val="Compact"/>
              <w:jc w:val="left"/>
            </w:pPr>
            <w:r>
              <w:t xml:space="preserve">4,100.00</w:t>
            </w:r>
          </w:p>
        </w:tc>
        <w:tc>
          <w:tcPr/>
          <w:p>
            <w:pPr>
              <w:pStyle w:val="Compact"/>
              <w:jc w:val="left"/>
            </w:pPr>
            <w:r>
              <w:t xml:space="preserve">49,200.00</w:t>
            </w:r>
          </w:p>
        </w:tc>
      </w:tr>
      <w:tr>
        <w:tc>
          <w:tcPr/>
          <w:p>
            <w:pPr>
              <w:pStyle w:val="Compact"/>
              <w:jc w:val="left"/>
            </w:pPr>
            <w:r>
              <w:t xml:space="preserve">05</w:t>
            </w:r>
          </w:p>
        </w:tc>
        <w:tc>
          <w:tcPr/>
          <w:p>
            <w:pPr>
              <w:pStyle w:val="Compact"/>
              <w:jc w:val="left"/>
            </w:pPr>
            <w:r>
              <w:t xml:space="preserve">Surgeon – Pre-operative Patient Consultations and Surgical Planning Sessions (per patient, conducted at Brisbane Surgical Centre clinic rooms)</w:t>
            </w:r>
          </w:p>
        </w:tc>
        <w:tc>
          <w:tcPr/>
          <w:p>
            <w:pPr>
              <w:pStyle w:val="Compact"/>
              <w:jc w:val="left"/>
            </w:pPr>
            <w:r>
              <w:t xml:space="preserve">80</w:t>
            </w:r>
          </w:p>
        </w:tc>
        <w:tc>
          <w:tcPr/>
          <w:p>
            <w:pPr>
              <w:pStyle w:val="Compact"/>
              <w:jc w:val="left"/>
            </w:pPr>
            <w:r>
              <w:t xml:space="preserve">Consultations</w:t>
            </w:r>
          </w:p>
        </w:tc>
        <w:tc>
          <w:tcPr/>
          <w:p>
            <w:pPr>
              <w:pStyle w:val="Compact"/>
              <w:jc w:val="left"/>
            </w:pPr>
            <w:r>
              <w:t xml:space="preserve">280.00</w:t>
            </w:r>
          </w:p>
        </w:tc>
        <w:tc>
          <w:tcPr/>
          <w:p>
            <w:pPr>
              <w:pStyle w:val="Compact"/>
              <w:jc w:val="left"/>
            </w:pPr>
            <w:r>
              <w:t xml:space="preserve">22,400.00</w:t>
            </w:r>
          </w:p>
        </w:tc>
      </w:tr>
      <w:tr>
        <w:tc>
          <w:tcPr/>
          <w:p>
            <w:pPr>
              <w:pStyle w:val="Compact"/>
              <w:jc w:val="left"/>
            </w:pPr>
            <w:r>
              <w:t xml:space="preserve">06</w:t>
            </w:r>
          </w:p>
        </w:tc>
        <w:tc>
          <w:tcPr/>
          <w:p>
            <w:pPr>
              <w:pStyle w:val="Compact"/>
              <w:jc w:val="left"/>
            </w:pPr>
            <w:r>
              <w:t xml:space="preserve">Surgeon – Post-operative Follow-up Reviews and Wound Management (per patient, including suture removal and complication assessment)</w:t>
            </w:r>
          </w:p>
        </w:tc>
        <w:tc>
          <w:tcPr/>
          <w:p>
            <w:pPr>
              <w:pStyle w:val="Compact"/>
              <w:jc w:val="left"/>
            </w:pPr>
            <w:r>
              <w:t xml:space="preserve">80</w:t>
            </w:r>
          </w:p>
        </w:tc>
        <w:tc>
          <w:tcPr/>
          <w:p>
            <w:pPr>
              <w:pStyle w:val="Compact"/>
              <w:jc w:val="left"/>
            </w:pPr>
            <w:r>
              <w:t xml:space="preserve">Reviews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07</w:t>
            </w:r>
          </w:p>
        </w:tc>
        <w:tc>
          <w:tcPr/>
          <w:p>
            <w:pPr>
              <w:pStyle w:val="Compact"/>
              <w:jc w:val="left"/>
            </w:pPr>
            <w:r>
              <w:t xml:space="preserve">Specialised Surgical Instrument Set – Laparoscopic Kit (12mm trocars, harmonic scalpel, energy device, disposable drapes) – supplied per procedure</w:t>
            </w:r>
          </w:p>
        </w:tc>
        <w:tc>
          <w:tcPr/>
          <w:p>
            <w:pPr>
              <w:pStyle w:val="Compact"/>
              <w:jc w:val="left"/>
            </w:pPr>
            <w:r>
              <w:t xml:space="preserve">24</w:t>
            </w:r>
          </w:p>
        </w:tc>
        <w:tc>
          <w:tcPr/>
          <w:p>
            <w:pPr>
              <w:pStyle w:val="Compact"/>
              <w:jc w:val="left"/>
            </w:pPr>
            <w:r>
              <w:t xml:space="preserve">Sets</w:t>
            </w:r>
          </w:p>
        </w:tc>
        <w:tc>
          <w:tcPr/>
          <w:p>
            <w:pPr>
              <w:pStyle w:val="Compact"/>
              <w:jc w:val="left"/>
            </w:pPr>
            <w:r>
              <w:t xml:space="preserve">1,450.00</w:t>
            </w:r>
          </w:p>
        </w:tc>
        <w:tc>
          <w:tcPr/>
          <w:p>
            <w:pPr>
              <w:pStyle w:val="Compact"/>
              <w:jc w:val="left"/>
            </w:pPr>
            <w:r>
              <w:t xml:space="preserve">34,800.00</w:t>
            </w:r>
          </w:p>
        </w:tc>
      </w:tr>
      <w:tr>
        <w:tc>
          <w:tcPr/>
          <w:p>
            <w:pPr>
              <w:pStyle w:val="Compact"/>
              <w:jc w:val="left"/>
            </w:pPr>
            <w:r>
              <w:t xml:space="preserve">08</w:t>
            </w:r>
          </w:p>
        </w:tc>
        <w:tc>
          <w:tcPr/>
          <w:p>
            <w:pPr>
              <w:pStyle w:val="Compact"/>
              <w:jc w:val="left"/>
            </w:pPr>
            <w:r>
              <w:t xml:space="preserve">Surgeon – On-Call Availability and Emergency Response (24/7 coverage within Australia Brisbane metropolitan area, 12-month contract period)</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48,000.00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426,200.00</w:t>
            </w:r>
          </w:p>
        </w:tc>
      </w:tr>
      <w:tr>
        <w:tc>
          <w:tcPr/>
          <w:p>
            <w:pPr>
              <w:pStyle w:val="Compact"/>
              <w:jc w:val="left"/>
            </w:pPr>
            <w:r>
              <w:t xml:space="preserve">GST (10%)</w:t>
            </w:r>
          </w:p>
        </w:tc>
        <w:tc>
          <w:tcPr/>
          <w:p>
            <w:pPr>
              <w:pStyle w:val="Compact"/>
              <w:jc w:val="right"/>
            </w:pPr>
            <w:r>
              <w:t xml:space="preserve">42,620.00</w:t>
            </w:r>
          </w:p>
        </w:tc>
      </w:tr>
      <w:tr>
        <w:tc>
          <w:tcPr/>
          <w:p>
            <w:pPr>
              <w:pStyle w:val="Compact"/>
              <w:jc w:val="left"/>
            </w:pPr>
            <w:r>
              <w:t xml:space="preserve">Grand Total (AUD)</w:t>
            </w:r>
          </w:p>
        </w:tc>
        <w:tc>
          <w:tcPr/>
          <w:p>
            <w:pPr>
              <w:pStyle w:val="Compact"/>
              <w:jc w:val="right"/>
            </w:pPr>
            <w:r>
              <w:t xml:space="preserve">468,820.00</w:t>
            </w:r>
          </w:p>
        </w:tc>
      </w:tr>
    </w:tbl>
    <w:p>
      <w:pPr>
        <w:pStyle w:val="BodyText"/>
      </w:pPr>
      <w:r>
        <w:t xml:space="preserve">Terms and Conditions</w:t>
      </w:r>
    </w:p>
    <w:bookmarkStart w:id="23" w:name="conditions-governing-this-purchase-order"/>
    <w:p>
      <w:pPr>
        <w:pStyle w:val="Heading3"/>
      </w:pPr>
      <w:r>
        <w:t xml:space="preserve">Conditions Governing This Purchase Order</w:t>
      </w:r>
    </w:p>
    <w:p>
      <w:pPr>
        <w:numPr>
          <w:ilvl w:val="0"/>
          <w:numId w:val="1001"/>
        </w:numPr>
        <w:pStyle w:val="Compact"/>
      </w:pPr>
      <w:r>
        <w:t xml:space="preserve">This</w:t>
      </w:r>
      <w:r>
        <w:t xml:space="preserve"> </w:t>
      </w:r>
      <w:r>
        <w:t xml:space="preserve">Purchase Order</w:t>
      </w:r>
      <w:r>
        <w:t xml:space="preserve"> </w:t>
      </w:r>
      <w:r>
        <w:t xml:space="preserve">is governed by the laws of the State of Queensland and the Commonwealth of Australia. Any disputes arising from the interpretation or performance of this</w:t>
      </w:r>
      <w:r>
        <w:t xml:space="preserve"> </w:t>
      </w:r>
      <w:r>
        <w:t xml:space="preserve">Purchase Order</w:t>
      </w:r>
      <w:r>
        <w:t xml:space="preserve"> </w:t>
      </w:r>
      <w:r>
        <w:t xml:space="preserve">shall be resolved in the courts of</w:t>
      </w:r>
      <w:r>
        <w:t xml:space="preserve"> </w:t>
      </w:r>
      <w:r>
        <w:t xml:space="preserve">Australia Brisbane</w:t>
      </w:r>
      <w:r>
        <w:t xml:space="preserve"> </w:t>
      </w:r>
      <w:r>
        <w:t xml:space="preserve">or by arbitration under the Queensland Uniform Arbitration Act 2011.</w:t>
      </w:r>
    </w:p>
    <w:p>
      <w:pPr>
        <w:numPr>
          <w:ilvl w:val="0"/>
          <w:numId w:val="1001"/>
        </w:numPr>
        <w:pStyle w:val="Compact"/>
      </w:pPr>
      <w:r>
        <w:t xml:space="preserve">The</w:t>
      </w:r>
      <w:r>
        <w:t xml:space="preserve"> </w:t>
      </w:r>
      <w:r>
        <w:t xml:space="preserve">Surgeon</w:t>
      </w:r>
      <w:r>
        <w:t xml:space="preserve"> </w:t>
      </w:r>
      <w:r>
        <w:t xml:space="preserve">shall maintain valid medical registration with the Australian Health Practitioner Regulation Agency (AHPRA) and current membership with the Royal Australasian College of Surgeons (RACS) for the entire duration of this</w:t>
      </w:r>
      <w:r>
        <w:t xml:space="preserve"> </w:t>
      </w:r>
      <w:r>
        <w:t xml:space="preserve">Purchase Order</w:t>
      </w:r>
      <w:r>
        <w:t xml:space="preserve">. Proof of registration and professional indemnity insurance (minimum AUD 20,000,000) shall be provided prior to the commencement of services.</w:t>
      </w:r>
    </w:p>
    <w:p>
      <w:pPr>
        <w:numPr>
          <w:ilvl w:val="0"/>
          <w:numId w:val="1001"/>
        </w:numPr>
        <w:pStyle w:val="Compact"/>
      </w:pPr>
      <w:r>
        <w:t xml:space="preserve">All surgical procedures specified in this</w:t>
      </w:r>
      <w:r>
        <w:t xml:space="preserve"> </w:t>
      </w:r>
      <w:r>
        <w:t xml:space="preserve">Purchase Order</w:t>
      </w:r>
      <w:r>
        <w:t xml:space="preserve"> </w:t>
      </w:r>
      <w:r>
        <w:t xml:space="preserve">shall be performed at accredited facilities within the</w:t>
      </w:r>
      <w:r>
        <w:t xml:space="preserve"> </w:t>
      </w:r>
      <w:r>
        <w:t xml:space="preserve">Australia Brisbane</w:t>
      </w:r>
      <w:r>
        <w:t xml:space="preserve"> </w:t>
      </w:r>
      <w:r>
        <w:t xml:space="preserve">metropolitan health region. The</w:t>
      </w:r>
      <w:r>
        <w:t xml:space="preserve"> </w:t>
      </w:r>
      <w:r>
        <w:t xml:space="preserve">Surgeon</w:t>
      </w:r>
      <w:r>
        <w:t xml:space="preserve"> </w:t>
      </w:r>
      <w:r>
        <w:t xml:space="preserve">shall comply with all Queensland Health infection control protocols, surgical site infection prevention guidelines, and the National Patient Safety Goals.</w:t>
      </w:r>
    </w:p>
    <w:p>
      <w:pPr>
        <w:numPr>
          <w:ilvl w:val="0"/>
          <w:numId w:val="1001"/>
        </w:numPr>
        <w:pStyle w:val="Compact"/>
      </w:pPr>
      <w:r>
        <w:t xml:space="preserve">Payment terms: Invoices shall be submitted within 14 days of service delivery. Payment shall be processed within 30 days of receipt of a valid tax invoice in accordance with the Australian Taxation Office (ATO) requirements. Late payment shall attract interest at the rate prescribed under the Queensland Government Payment Terms Act 2018.</w:t>
      </w:r>
    </w:p>
    <w:p>
      <w:pPr>
        <w:numPr>
          <w:ilvl w:val="0"/>
          <w:numId w:val="1001"/>
        </w:numPr>
        <w:pStyle w:val="Compact"/>
      </w:pPr>
      <w:r>
        <w:t xml:space="preserve">The</w:t>
      </w:r>
      <w:r>
        <w:t xml:space="preserve"> </w:t>
      </w:r>
      <w:r>
        <w:t xml:space="preserve">Surgeon</w:t>
      </w:r>
      <w:r>
        <w:t xml:space="preserve"> </w:t>
      </w:r>
      <w:r>
        <w:t xml:space="preserve">shall provide a detailed operative report for each procedure within 72 hours of surgery completion. All clinical documentation shall be entered into the Queensland Health electronic medical records system (MediRecord) in accordance with the Privacy Act 1988 (Cth) and the Australian Privacy Principles.</w:t>
      </w:r>
    </w:p>
    <w:p>
      <w:pPr>
        <w:numPr>
          <w:ilvl w:val="0"/>
          <w:numId w:val="1001"/>
        </w:numPr>
        <w:pStyle w:val="Compact"/>
      </w:pPr>
      <w:r>
        <w:t xml:space="preserve">This</w:t>
      </w:r>
      <w:r>
        <w:t xml:space="preserve"> </w:t>
      </w:r>
      <w:r>
        <w:t xml:space="preserve">Purchase Order</w:t>
      </w:r>
      <w:r>
        <w:t xml:space="preserve"> </w:t>
      </w:r>
      <w:r>
        <w:t xml:space="preserve">may be terminated by either party with 30 days' written notice. In the event of termination, the</w:t>
      </w:r>
      <w:r>
        <w:t xml:space="preserve"> </w:t>
      </w:r>
      <w:r>
        <w:t xml:space="preserve">Surgeon</w:t>
      </w:r>
      <w:r>
        <w:t xml:space="preserve"> </w:t>
      </w:r>
      <w:r>
        <w:t xml:space="preserve">shall complete all scheduled procedures already booked and provide a minimum of 14 days' notice to affected patients within the</w:t>
      </w:r>
      <w:r>
        <w:t xml:space="preserve"> </w:t>
      </w:r>
      <w:r>
        <w:t xml:space="preserve">Australia Brisbane</w:t>
      </w:r>
      <w:r>
        <w:t xml:space="preserve"> </w:t>
      </w:r>
      <w:r>
        <w:t xml:space="preserve">community.</w:t>
      </w:r>
    </w:p>
    <w:p>
      <w:pPr>
        <w:numPr>
          <w:ilvl w:val="0"/>
          <w:numId w:val="1001"/>
        </w:numPr>
        <w:pStyle w:val="Compact"/>
      </w:pPr>
      <w:r>
        <w:t xml:space="preserve">The</w:t>
      </w:r>
      <w:r>
        <w:t xml:space="preserve"> </w:t>
      </w:r>
      <w:r>
        <w:t xml:space="preserve">Surgeon</w:t>
      </w:r>
      <w:r>
        <w:t xml:space="preserve"> </w:t>
      </w:r>
      <w:r>
        <w:t xml:space="preserve">shall participate in quarterly clinical governance reviews conducted by the Brisbane Surgical Centre Quality and Safety Committee. Failure to attend two consecutive reviews without valid medical leave shall constitute a material breach of this</w:t>
      </w:r>
      <w:r>
        <w:t xml:space="preserve"> </w:t>
      </w:r>
      <w:r>
        <w:t xml:space="preserve">Purchase Order</w:t>
      </w:r>
      <w:r>
        <w:t xml:space="preserve">.</w:t>
      </w:r>
    </w:p>
    <w:p>
      <w:pPr>
        <w:numPr>
          <w:ilvl w:val="0"/>
          <w:numId w:val="1001"/>
        </w:numPr>
        <w:pStyle w:val="Compact"/>
      </w:pPr>
      <w:r>
        <w:t xml:space="preserve">All personal data and patient health information handled under this</w:t>
      </w:r>
      <w:r>
        <w:t xml:space="preserve"> </w:t>
      </w:r>
      <w:r>
        <w:t xml:space="preserve">Purchase Order</w:t>
      </w:r>
      <w:r>
        <w:t xml:space="preserve"> </w:t>
      </w:r>
      <w:r>
        <w:t xml:space="preserve">shall be stored and processed in compliance with the Information Privacy Act 2009 (Qld) and the Notifiable Data Breaches scheme under the Privacy Act 1988 (Cth).</w:t>
      </w:r>
    </w:p>
    <w:bookmarkEnd w:id="23"/>
    <w:p>
      <w:pPr>
        <w:pStyle w:val="FirstParagraph"/>
      </w:pPr>
      <w:r>
        <w:t xml:space="preserve">Authorisation and Acceptance</w:t>
      </w:r>
    </w:p>
    <w:p>
      <w:pPr>
        <w:pStyle w:val="BodyText"/>
      </w:pPr>
      <w:r>
        <w:rPr>
          <w:bCs/>
          <w:b/>
        </w:rPr>
        <w:t xml:space="preserve">Authorised by (Purchasing Entity):</w:t>
      </w:r>
    </w:p>
    <w:p>
      <w:pPr>
        <w:pStyle w:val="BodyText"/>
      </w:pPr>
      <w:r>
        <w:t xml:space="preserve">Name: Sarah L. Thompson</w:t>
      </w:r>
    </w:p>
    <w:p>
      <w:pPr>
        <w:pStyle w:val="BodyText"/>
      </w:pPr>
      <w:r>
        <w:t xml:space="preserve">Title: Director of Procurement, Queensland Health – Brisbane</w:t>
      </w:r>
    </w:p>
    <w:p>
      <w:pPr>
        <w:pStyle w:val="BodyText"/>
      </w:pPr>
      <w:r>
        <w:t xml:space="preserve">Signature: ___________________________</w:t>
      </w:r>
    </w:p>
    <w:p>
      <w:pPr>
        <w:pStyle w:val="BodyText"/>
      </w:pPr>
      <w:r>
        <w:t xml:space="preserve">Date: 12 June 2025</w:t>
      </w:r>
    </w:p>
    <w:p>
      <w:pPr>
        <w:pStyle w:val="BodyText"/>
      </w:pPr>
      <w:r>
        <w:rPr>
          <w:bCs/>
          <w:b/>
        </w:rPr>
        <w:t xml:space="preserve">Accepted by (Surgeon / Supplier):</w:t>
      </w:r>
    </w:p>
    <w:p>
      <w:pPr>
        <w:pStyle w:val="BodyText"/>
      </w:pPr>
      <w:r>
        <w:t xml:space="preserve">Name: Dr. Marcus A. Whitfield, FRACS</w:t>
      </w:r>
    </w:p>
    <w:p>
      <w:pPr>
        <w:pStyle w:val="BodyText"/>
      </w:pPr>
      <w:r>
        <w:t xml:space="preserve">Title: Consultant Surgeon, Brisbane Specialist Surgical Group</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(PO-BNE-2025-04872) was issued by Queensland Health – Brisbane Surgical Centre, Australia Brisbane. This document is the property of the Queensland Government and is subject to the Public Sector Information Act 2009 (Qld). Unauthorised reproduction or distribution is prohibited. For queries, contact the Brisbane Procurement Office at +61 7 3841 7000.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Australia Brisbane</dc:title>
  <dc:creator/>
  <dc:language>en</dc:language>
  <cp:keywords/>
  <dcterms:created xsi:type="dcterms:W3CDTF">2026-10-10T06:26:35Z</dcterms:created>
  <dcterms:modified xsi:type="dcterms:W3CDTF">2026-10-10T06:26:35Z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