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Surgical Services Procurement Document</w:t>
      </w:r>
    </w:p>
    <w:p>
      <w:pPr>
        <w:pStyle w:val="BodyText"/>
      </w:pPr>
      <w:r>
        <w:t xml:space="preserve">Issued for Medical Facility Operations in Egypt Alexandria</w:t>
      </w:r>
    </w:p>
    <w:bookmarkEnd w:id="20"/>
    <w:p>
      <w:pPr>
        <w:pStyle w:val="BodyText"/>
      </w:pPr>
      <w:r>
        <w:rPr>
          <w:bCs/>
          <w:b/>
        </w:rPr>
        <w:t xml:space="preserve">Purchase Order No.:</w:t>
      </w:r>
      <w:r>
        <w:t xml:space="preserve"> </w:t>
      </w:r>
      <w:r>
        <w:t xml:space="preserve">PO-EGY-ALX-2025-04782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 – Urgent Medical Need</w:t>
      </w:r>
      <w:r>
        <w:br/>
      </w:r>
      <w:r>
        <w:rPr>
          <w:bCs/>
          <w:b/>
        </w:rPr>
        <w:t xml:space="preserve">Department:</w:t>
      </w:r>
      <w:r>
        <w:t xml:space="preserve"> </w:t>
      </w:r>
      <w:r>
        <w:t xml:space="preserve">Surgical Operations</w:t>
      </w:r>
      <w:r>
        <w:br/>
      </w:r>
      <w:r>
        <w:rPr>
          <w:bCs/>
          <w:b/>
        </w:rPr>
        <w:t xml:space="preserve">Reference:</w:t>
      </w:r>
      <w:r>
        <w:t xml:space="preserve"> </w:t>
      </w:r>
      <w:r>
        <w:t xml:space="preserve">MED-ALX-SRG-2025-114</w:t>
      </w:r>
    </w:p>
    <w:p>
      <w:pPr>
        <w:pStyle w:val="BodyText"/>
      </w:pPr>
      <w:r>
        <w:t xml:space="preserve">1. BUYER INFORMATION (Issuing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Alexandria General Medical Center (AGMC)</w:t>
            </w:r>
          </w:p>
        </w:tc>
      </w:tr>
      <w:tr>
        <w:tc>
          <w:tcPr/>
          <w:p>
            <w:pPr>
              <w:pStyle w:val="Compact"/>
              <w:jc w:val="left"/>
            </w:pPr>
            <w:r>
              <w:t xml:space="preserve">Address</w:t>
            </w:r>
          </w:p>
        </w:tc>
        <w:tc>
          <w:tcPr/>
          <w:p>
            <w:pPr>
              <w:pStyle w:val="Compact"/>
              <w:jc w:val="left"/>
            </w:pPr>
            <w:r>
              <w:t xml:space="preserve">12 Corniche El-Nil Street, Smouha District, Egypt Alexandria, 21543</w:t>
            </w:r>
          </w:p>
        </w:tc>
      </w:tr>
      <w:tr>
        <w:tc>
          <w:tcPr/>
          <w:p>
            <w:pPr>
              <w:pStyle w:val="Compact"/>
              <w:jc w:val="left"/>
            </w:pPr>
            <w:r>
              <w:t xml:space="preserve">Contact Person</w:t>
            </w:r>
          </w:p>
        </w:tc>
        <w:tc>
          <w:tcPr/>
          <w:p>
            <w:pPr>
              <w:pStyle w:val="Compact"/>
              <w:jc w:val="left"/>
            </w:pPr>
            <w:r>
              <w:t xml:space="preserve">Dr. Mahmoud El-Sayed, Chief Medical Officer</w:t>
            </w:r>
          </w:p>
        </w:tc>
      </w:tr>
      <w:tr>
        <w:tc>
          <w:tcPr/>
          <w:p>
            <w:pPr>
              <w:pStyle w:val="Compact"/>
              <w:jc w:val="left"/>
            </w:pPr>
            <w:r>
              <w:t xml:space="preserve">Phone</w:t>
            </w:r>
          </w:p>
        </w:tc>
        <w:tc>
          <w:tcPr/>
          <w:p>
            <w:pPr>
              <w:pStyle w:val="Compact"/>
              <w:jc w:val="left"/>
            </w:pPr>
            <w:r>
              <w:t xml:space="preserve">+20 3 488 2210</w:t>
            </w:r>
          </w:p>
        </w:tc>
      </w:tr>
      <w:tr>
        <w:tc>
          <w:tcPr/>
          <w:p>
            <w:pPr>
              <w:pStyle w:val="Compact"/>
              <w:jc w:val="left"/>
            </w:pPr>
            <w:r>
              <w:t xml:space="preserve">Email</w:t>
            </w:r>
          </w:p>
        </w:tc>
        <w:tc>
          <w:tcPr/>
          <w:p>
            <w:pPr>
              <w:pStyle w:val="Compact"/>
              <w:jc w:val="left"/>
            </w:pPr>
            <w:r>
              <w:t xml:space="preserve">procurement@agmc-alexandria.eg</w:t>
            </w:r>
          </w:p>
        </w:tc>
      </w:tr>
      <w:tr>
        <w:tc>
          <w:tcPr/>
          <w:p>
            <w:pPr>
              <w:pStyle w:val="Compact"/>
              <w:jc w:val="left"/>
            </w:pPr>
            <w:r>
              <w:t xml:space="preserve">Tax Registration No.</w:t>
            </w:r>
          </w:p>
        </w:tc>
        <w:tc>
          <w:tcPr/>
          <w:p>
            <w:pPr>
              <w:pStyle w:val="Compact"/>
              <w:jc w:val="left"/>
            </w:pPr>
            <w:r>
              <w:t xml:space="preserve">EG-TR-44782910</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Hanaa Fathy Abdel-Rahman, MD, FACS</w:t>
            </w:r>
          </w:p>
        </w:tc>
      </w:tr>
      <w:tr>
        <w:tc>
          <w:tcPr/>
          <w:p>
            <w:pPr>
              <w:pStyle w:val="Compact"/>
              <w:jc w:val="left"/>
            </w:pPr>
            <w:r>
              <w:t xml:space="preserve">Specialization</w:t>
            </w:r>
          </w:p>
        </w:tc>
        <w:tc>
          <w:tcPr/>
          <w:p>
            <w:pPr>
              <w:pStyle w:val="Compact"/>
              <w:jc w:val="left"/>
            </w:pPr>
            <w:r>
              <w:t xml:space="preserve">General and Vascular Surgeon</w:t>
            </w:r>
          </w:p>
        </w:tc>
      </w:tr>
      <w:tr>
        <w:tc>
          <w:tcPr/>
          <w:p>
            <w:pPr>
              <w:pStyle w:val="Compact"/>
              <w:jc w:val="left"/>
            </w:pPr>
            <w:r>
              <w:t xml:space="preserve">License No.</w:t>
            </w:r>
          </w:p>
        </w:tc>
        <w:tc>
          <w:tcPr/>
          <w:p>
            <w:pPr>
              <w:pStyle w:val="Compact"/>
              <w:jc w:val="left"/>
            </w:pPr>
            <w:r>
              <w:t xml:space="preserve">EG-MED-LIC-2019-08834 (Egyptian Medical Syndicate)</w:t>
            </w:r>
          </w:p>
        </w:tc>
      </w:tr>
      <w:tr>
        <w:tc>
          <w:tcPr/>
          <w:p>
            <w:pPr>
              <w:pStyle w:val="Compact"/>
              <w:jc w:val="left"/>
            </w:pPr>
            <w:r>
              <w:t xml:space="preserve">Practice Address</w:t>
            </w:r>
          </w:p>
        </w:tc>
        <w:tc>
          <w:tcPr/>
          <w:p>
            <w:pPr>
              <w:pStyle w:val="Compact"/>
              <w:jc w:val="left"/>
            </w:pPr>
            <w:r>
              <w:t xml:space="preserve">45 El-Montazah Road, East El-Montazah, Egypt Alexandria, 21528</w:t>
            </w:r>
          </w:p>
        </w:tc>
      </w:tr>
      <w:tr>
        <w:tc>
          <w:tcPr/>
          <w:p>
            <w:pPr>
              <w:pStyle w:val="Compact"/>
              <w:jc w:val="left"/>
            </w:pPr>
            <w:r>
              <w:t xml:space="preserve">Contact Phone</w:t>
            </w:r>
          </w:p>
        </w:tc>
        <w:tc>
          <w:tcPr/>
          <w:p>
            <w:pPr>
              <w:pStyle w:val="Compact"/>
              <w:jc w:val="left"/>
            </w:pPr>
            <w:r>
              <w:t xml:space="preserve">+20 10 5544 7821</w:t>
            </w:r>
          </w:p>
        </w:tc>
      </w:tr>
      <w:tr>
        <w:tc>
          <w:tcPr/>
          <w:p>
            <w:pPr>
              <w:pStyle w:val="Compact"/>
              <w:jc w:val="left"/>
            </w:pPr>
            <w:r>
              <w:t xml:space="preserve">Email</w:t>
            </w:r>
          </w:p>
        </w:tc>
        <w:tc>
          <w:tcPr/>
          <w:p>
            <w:pPr>
              <w:pStyle w:val="Compact"/>
              <w:jc w:val="left"/>
            </w:pPr>
            <w:r>
              <w:t xml:space="preserve">dr.hanaa.fathy@surgeon-alexandria.eg</w:t>
            </w:r>
          </w:p>
        </w:tc>
      </w:tr>
    </w:tbl>
    <w:p>
      <w:pPr>
        <w:pStyle w:val="BodyText"/>
      </w:pPr>
      <w:r>
        <w:t xml:space="preserve">3. SCOPE OF PROCUREMENT</w:t>
      </w:r>
    </w:p>
    <w:p>
      <w:pPr>
        <w:pStyle w:val="BodyText"/>
      </w:pPr>
      <w:r>
        <w:t xml:space="preserve">This</w:t>
      </w:r>
      <w:r>
        <w:t xml:space="preserve"> </w:t>
      </w:r>
      <w:r>
        <w:t xml:space="preserve">Purchase Order</w:t>
      </w:r>
      <w:r>
        <w:t xml:space="preserve"> </w:t>
      </w:r>
      <w:r>
        <w:t xml:space="preserve">is issued by Alexandria General Medical Center to formally engage the services of a qualified</w:t>
      </w:r>
      <w:r>
        <w:t xml:space="preserve"> </w:t>
      </w:r>
      <w:r>
        <w:t xml:space="preserve">Surgeon</w:t>
      </w:r>
      <w:r>
        <w:t xml:space="preserve"> </w:t>
      </w:r>
      <w:r>
        <w:t xml:space="preserve">for the provision of surgical procedures, pre-operative consultations, post-operative follow-up care, and related medical services to be performed at the facility located in</w:t>
      </w:r>
      <w:r>
        <w:t xml:space="preserve"> </w:t>
      </w:r>
      <w:r>
        <w:t xml:space="preserve">Egypt Alexandria</w:t>
      </w:r>
      <w:r>
        <w:t xml:space="preserve">. The engagement is subject to the terms, conditions, and regulatory requirements set forth by the Egyptian Ministry of Health and the Egyptian Medical Syndicate. The</w:t>
      </w:r>
      <w:r>
        <w:t xml:space="preserve"> </w:t>
      </w:r>
      <w:r>
        <w:t xml:space="preserve">Surgeon</w:t>
      </w:r>
      <w:r>
        <w:t xml:space="preserve"> </w:t>
      </w:r>
      <w:r>
        <w:t xml:space="preserve">shall comply with all applicable medical protocols, infection control standards, and patient safety guidelines as mandated for all surgical operations conducted within the</w:t>
      </w:r>
      <w:r>
        <w:t xml:space="preserve"> </w:t>
      </w:r>
      <w:r>
        <w:t xml:space="preserve">Egypt Alexandria</w:t>
      </w:r>
      <w:r>
        <w:t xml:space="preserve"> </w:t>
      </w:r>
      <w:r>
        <w:t xml:space="preserve">metropolitan healthcare district.</w:t>
      </w:r>
    </w:p>
    <w:p>
      <w:pPr>
        <w:pStyle w:val="BodyText"/>
      </w:pPr>
      <w:r>
        <w:t xml:space="preserve">4.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Pre-operative patient assessment and surgical planning consultation (per patient)</w:t>
            </w:r>
          </w:p>
        </w:tc>
        <w:tc>
          <w:tcPr/>
          <w:p>
            <w:pPr>
              <w:pStyle w:val="Compact"/>
              <w:jc w:val="left"/>
            </w:pPr>
            <w:r>
              <w:t xml:space="preserve">25</w:t>
            </w:r>
          </w:p>
        </w:tc>
        <w:tc>
          <w:tcPr/>
          <w:p>
            <w:pPr>
              <w:pStyle w:val="Compact"/>
              <w:jc w:val="left"/>
            </w:pPr>
            <w:r>
              <w:t xml:space="preserve">Session</w:t>
            </w:r>
          </w:p>
        </w:tc>
        <w:tc>
          <w:tcPr/>
          <w:p>
            <w:pPr>
              <w:pStyle w:val="Compact"/>
              <w:jc w:val="left"/>
            </w:pPr>
            <w:r>
              <w:t xml:space="preserve">2,500</w:t>
            </w:r>
          </w:p>
        </w:tc>
        <w:tc>
          <w:tcPr/>
          <w:p>
            <w:pPr>
              <w:pStyle w:val="Compact"/>
              <w:jc w:val="left"/>
            </w:pPr>
            <w:r>
              <w:t xml:space="preserve">62,500</w:t>
            </w:r>
          </w:p>
        </w:tc>
      </w:tr>
      <w:tr>
        <w:tc>
          <w:tcPr/>
          <w:p>
            <w:pPr>
              <w:pStyle w:val="Compact"/>
              <w:jc w:val="left"/>
            </w:pPr>
            <w:r>
              <w:t xml:space="preserve">02</w:t>
            </w:r>
          </w:p>
        </w:tc>
        <w:tc>
          <w:tcPr/>
          <w:p>
            <w:pPr>
              <w:pStyle w:val="Compact"/>
              <w:jc w:val="left"/>
            </w:pPr>
            <w:r>
              <w:t xml:space="preserve">General surgical procedure – laparoscopic cholecystectomy (per case)</w:t>
            </w:r>
          </w:p>
        </w:tc>
        <w:tc>
          <w:tcPr/>
          <w:p>
            <w:pPr>
              <w:pStyle w:val="Compact"/>
              <w:jc w:val="left"/>
            </w:pPr>
            <w:r>
              <w:t xml:space="preserve">15</w:t>
            </w:r>
          </w:p>
        </w:tc>
        <w:tc>
          <w:tcPr/>
          <w:p>
            <w:pPr>
              <w:pStyle w:val="Compact"/>
              <w:jc w:val="left"/>
            </w:pPr>
            <w:r>
              <w:t xml:space="preserve">Case</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03</w:t>
            </w:r>
          </w:p>
        </w:tc>
        <w:tc>
          <w:tcPr/>
          <w:p>
            <w:pPr>
              <w:pStyle w:val="Compact"/>
              <w:jc w:val="left"/>
            </w:pPr>
            <w:r>
              <w:t xml:space="preserve">Vascular surgical intervention – peripheral artery repair (per case)</w:t>
            </w:r>
          </w:p>
        </w:tc>
        <w:tc>
          <w:tcPr/>
          <w:p>
            <w:pPr>
              <w:pStyle w:val="Compact"/>
              <w:jc w:val="left"/>
            </w:pPr>
            <w:r>
              <w:t xml:space="preserve">8</w:t>
            </w:r>
          </w:p>
        </w:tc>
        <w:tc>
          <w:tcPr/>
          <w:p>
            <w:pPr>
              <w:pStyle w:val="Compact"/>
              <w:jc w:val="left"/>
            </w:pPr>
            <w:r>
              <w:t xml:space="preserve">Case</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04</w:t>
            </w:r>
          </w:p>
        </w:tc>
        <w:tc>
          <w:tcPr/>
          <w:p>
            <w:pPr>
              <w:pStyle w:val="Compact"/>
              <w:jc w:val="left"/>
            </w:pPr>
            <w:r>
              <w:t xml:space="preserve">Post-operative follow-up and wound management (per patient, up to 4 visits)</w:t>
            </w:r>
          </w:p>
        </w:tc>
        <w:tc>
          <w:tcPr/>
          <w:p>
            <w:pPr>
              <w:pStyle w:val="Compact"/>
              <w:jc w:val="left"/>
            </w:pPr>
            <w:r>
              <w:t xml:space="preserve">40</w:t>
            </w:r>
          </w:p>
        </w:tc>
        <w:tc>
          <w:tcPr/>
          <w:p>
            <w:pPr>
              <w:pStyle w:val="Compact"/>
              <w:jc w:val="left"/>
            </w:pPr>
            <w:r>
              <w:t xml:space="preserve">Visit</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Emergency surgical call-out coverage – 24/7 on-call availability (monthly retainer)</w:t>
            </w:r>
          </w:p>
        </w:tc>
        <w:tc>
          <w:tcPr/>
          <w:p>
            <w:pPr>
              <w:pStyle w:val="Compact"/>
              <w:jc w:val="left"/>
            </w:pPr>
            <w:r>
              <w:t xml:space="preserve">3</w:t>
            </w:r>
          </w:p>
        </w:tc>
        <w:tc>
          <w:tcPr/>
          <w:p>
            <w:pPr>
              <w:pStyle w:val="Compact"/>
              <w:jc w:val="left"/>
            </w:pPr>
            <w:r>
              <w:t xml:space="preserve">Month</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Surgical instrument sterilization oversight and operative room supervision (per day)</w:t>
            </w:r>
          </w:p>
        </w:tc>
        <w:tc>
          <w:tcPr/>
          <w:p>
            <w:pPr>
              <w:pStyle w:val="Compact"/>
              <w:jc w:val="left"/>
            </w:pPr>
            <w:r>
              <w:t xml:space="preserve">30</w:t>
            </w:r>
          </w:p>
        </w:tc>
        <w:tc>
          <w:tcPr/>
          <w:p>
            <w:pPr>
              <w:pStyle w:val="Compact"/>
              <w:jc w:val="left"/>
            </w:pPr>
            <w:r>
              <w:t xml:space="preserve">Day</w:t>
            </w:r>
          </w:p>
        </w:tc>
        <w:tc>
          <w:tcPr/>
          <w:p>
            <w:pPr>
              <w:pStyle w:val="Compact"/>
              <w:jc w:val="left"/>
            </w:pPr>
            <w:r>
              <w:t xml:space="preserve">3,500</w:t>
            </w:r>
          </w:p>
        </w:tc>
        <w:tc>
          <w:tcPr/>
          <w:p>
            <w:pPr>
              <w:pStyle w:val="Compact"/>
              <w:jc w:val="left"/>
            </w:pPr>
            <w:r>
              <w:t xml:space="preserve">105,000</w:t>
            </w:r>
          </w:p>
        </w:tc>
      </w:tr>
      <w:tr>
        <w:tc>
          <w:tcPr/>
          <w:p>
            <w:pPr>
              <w:pStyle w:val="Compact"/>
              <w:jc w:val="left"/>
            </w:pPr>
            <w:r>
              <w:t xml:space="preserve">07</w:t>
            </w:r>
          </w:p>
        </w:tc>
        <w:tc>
          <w:tcPr/>
          <w:p>
            <w:pPr>
              <w:pStyle w:val="Compact"/>
              <w:jc w:val="left"/>
            </w:pPr>
            <w:r>
              <w:t xml:space="preserve">Medical documentation, operative reports, and discharge summaries (per case)</w:t>
            </w:r>
          </w:p>
        </w:tc>
        <w:tc>
          <w:tcPr/>
          <w:p>
            <w:pPr>
              <w:pStyle w:val="Compact"/>
              <w:jc w:val="left"/>
            </w:pPr>
            <w:r>
              <w:t xml:space="preserve">63</w:t>
            </w:r>
          </w:p>
        </w:tc>
        <w:tc>
          <w:tcPr/>
          <w:p>
            <w:pPr>
              <w:pStyle w:val="Compact"/>
              <w:jc w:val="left"/>
            </w:pPr>
            <w:r>
              <w:t xml:space="preserve">Report</w:t>
            </w:r>
          </w:p>
        </w:tc>
        <w:tc>
          <w:tcPr/>
          <w:p>
            <w:pPr>
              <w:pStyle w:val="Compact"/>
              <w:jc w:val="left"/>
            </w:pPr>
            <w:r>
              <w:t xml:space="preserve">800</w:t>
            </w:r>
          </w:p>
        </w:tc>
        <w:tc>
          <w:tcPr/>
          <w:p>
            <w:pPr>
              <w:pStyle w:val="Compact"/>
              <w:jc w:val="left"/>
            </w:pPr>
            <w:r>
              <w:t xml:space="preserve">50,400</w:t>
            </w:r>
          </w:p>
        </w:tc>
      </w:tr>
      <w:tr>
        <w:tc>
          <w:tcPr>
            <w:gridSpan w:val="5"/>
          </w:tcPr>
          <w:p>
            <w:pPr>
              <w:pStyle w:val="Compact"/>
              <w:jc w:val="left"/>
            </w:pPr>
            <w:r>
              <w:t xml:space="preserve">SUBTOTAL</w:t>
            </w:r>
          </w:p>
        </w:tc>
        <w:tc>
          <w:tcPr/>
          <w:p>
            <w:pPr>
              <w:pStyle w:val="Compact"/>
              <w:jc w:val="left"/>
            </w:pPr>
            <w:r>
              <w:t xml:space="preserve">866,900</w:t>
            </w:r>
          </w:p>
        </w:tc>
      </w:tr>
      <w:tr>
        <w:tc>
          <w:tcPr>
            <w:gridSpan w:val="5"/>
          </w:tcPr>
          <w:p>
            <w:pPr>
              <w:pStyle w:val="Compact"/>
              <w:jc w:val="left"/>
            </w:pPr>
            <w:r>
              <w:t xml:space="preserve">VAT (14% – Egyptian Tax Authority)</w:t>
            </w:r>
          </w:p>
        </w:tc>
        <w:tc>
          <w:tcPr/>
          <w:p>
            <w:pPr>
              <w:pStyle w:val="Compact"/>
              <w:jc w:val="left"/>
            </w:pPr>
            <w:r>
              <w:t xml:space="preserve">121,366</w:t>
            </w:r>
          </w:p>
        </w:tc>
      </w:tr>
      <w:tr>
        <w:tc>
          <w:tcPr>
            <w:gridSpan w:val="5"/>
          </w:tcPr>
          <w:p>
            <w:pPr>
              <w:pStyle w:val="Compact"/>
              <w:jc w:val="left"/>
            </w:pPr>
            <w:r>
              <w:t xml:space="preserve">GRAND TOTAL (EGP)</w:t>
            </w:r>
          </w:p>
        </w:tc>
        <w:tc>
          <w:tcPr/>
          <w:p>
            <w:pPr>
              <w:pStyle w:val="Compact"/>
              <w:jc w:val="left"/>
            </w:pPr>
            <w:r>
              <w:t xml:space="preserve">988,266</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Surgeon</w:t>
      </w:r>
      <w:r>
        <w:t xml:space="preserve"> </w:t>
      </w:r>
      <w:r>
        <w:t xml:space="preserve">within five (5)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Performance Period:</w:t>
      </w:r>
      <w:r>
        <w:t xml:space="preserve"> </w:t>
      </w:r>
      <w:r>
        <w:t xml:space="preserve">All surgical services and professional engagements outlined herein shall be executed between 1 July 2025 and 30 September 2025 at the Alexandria General Medical Center facility in</w:t>
      </w:r>
      <w:r>
        <w:t xml:space="preserve"> </w:t>
      </w:r>
      <w:r>
        <w:t xml:space="preserve">Egypt Alexandria</w:t>
      </w:r>
      <w:r>
        <w:t xml:space="preserve">.</w:t>
      </w:r>
    </w:p>
    <w:p>
      <w:pPr>
        <w:numPr>
          <w:ilvl w:val="0"/>
          <w:numId w:val="1001"/>
        </w:numPr>
        <w:pStyle w:val="Compact"/>
      </w:pPr>
      <w:r>
        <w:rPr>
          <w:bCs/>
          <w:b/>
        </w:rPr>
        <w:t xml:space="preserve">Licensing and Compliance:</w:t>
      </w:r>
      <w:r>
        <w:t xml:space="preserve"> </w:t>
      </w:r>
      <w:r>
        <w:t xml:space="preserve">The</w:t>
      </w:r>
      <w:r>
        <w:t xml:space="preserve"> </w:t>
      </w:r>
      <w:r>
        <w:t xml:space="preserve">Surgeon</w:t>
      </w:r>
      <w:r>
        <w:t xml:space="preserve"> </w:t>
      </w:r>
      <w:r>
        <w:t xml:space="preserve">warrants that all professional licenses, malpractice insurance (minimum coverage of EGP 5,000,000), and certifications are current and valid throughout the performance period. The</w:t>
      </w:r>
      <w:r>
        <w:t xml:space="preserve"> </w:t>
      </w:r>
      <w:r>
        <w:t xml:space="preserve">Surgeon</w:t>
      </w:r>
      <w:r>
        <w:t xml:space="preserve"> </w:t>
      </w:r>
      <w:r>
        <w:t xml:space="preserve">shall adhere to all regulations issued by the Egyptian Medical Syndicate and the Ministry of Health for the</w:t>
      </w:r>
      <w:r>
        <w:t xml:space="preserve"> </w:t>
      </w:r>
      <w:r>
        <w:t xml:space="preserve">Egypt Alexandria</w:t>
      </w:r>
      <w:r>
        <w:t xml:space="preserve"> </w:t>
      </w:r>
      <w:r>
        <w:t xml:space="preserve">governorate.</w:t>
      </w:r>
    </w:p>
    <w:p>
      <w:pPr>
        <w:numPr>
          <w:ilvl w:val="0"/>
          <w:numId w:val="1001"/>
        </w:numPr>
        <w:pStyle w:val="Compact"/>
      </w:pPr>
      <w:r>
        <w:rPr>
          <w:bCs/>
          <w:b/>
        </w:rPr>
        <w:t xml:space="preserve">Payment Terms:</w:t>
      </w:r>
      <w:r>
        <w:t xml:space="preserve"> </w:t>
      </w:r>
      <w:r>
        <w:t xml:space="preserve">Payment shall be made in three (3) equal monthly installments within fifteen (15) business days following the end of each calendar month. Payment shall be processed via bank transfer to the account designated by the</w:t>
      </w:r>
      <w:r>
        <w:t xml:space="preserve"> </w:t>
      </w:r>
      <w:r>
        <w:t xml:space="preserve">Surgeon</w:t>
      </w:r>
      <w:r>
        <w:t xml:space="preserve"> </w:t>
      </w:r>
      <w:r>
        <w:t xml:space="preserve">in writing. All amounts are denominated in Egyptian Pounds (EGP) and are subject to applicable Egyptian tax regulations.</w:t>
      </w:r>
    </w:p>
    <w:p>
      <w:pPr>
        <w:numPr>
          <w:ilvl w:val="0"/>
          <w:numId w:val="1001"/>
        </w:numPr>
        <w:pStyle w:val="Compact"/>
      </w:pPr>
      <w:r>
        <w:rPr>
          <w:bCs/>
          <w:b/>
        </w:rPr>
        <w:t xml:space="preserve">Confidentiality:</w:t>
      </w:r>
      <w:r>
        <w:t xml:space="preserve"> </w:t>
      </w:r>
      <w:r>
        <w:t xml:space="preserve">The</w:t>
      </w:r>
      <w:r>
        <w:t xml:space="preserve"> </w:t>
      </w:r>
      <w:r>
        <w:t xml:space="preserve">Surgeon</w:t>
      </w:r>
      <w:r>
        <w:t xml:space="preserve"> </w:t>
      </w:r>
      <w:r>
        <w:t xml:space="preserve">shall maintain strict confidentiality regarding all patient records, medical data, and proprietary operational information of Alexandria General Medical Center.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gross professional negligence, loss of medical license, or violation of patient safety protocols, the Buyer reserves the right to terminate immediately without penalty.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w:t>
      </w:r>
      <w:r>
        <w:t xml:space="preserve"> </w:t>
      </w:r>
      <w:r>
        <w:t xml:space="preserve">Egypt Alexandria</w:t>
      </w:r>
      <w:r>
        <w:t xml:space="preserve"> </w:t>
      </w:r>
      <w:r>
        <w:t xml:space="preserve">in accordance with Egyptian law. If mediation fails, disputes shall be submitted to the competent courts of Alexandria, Egypt.</w:t>
      </w:r>
    </w:p>
    <w:p>
      <w:pPr>
        <w:numPr>
          <w:ilvl w:val="0"/>
          <w:numId w:val="1001"/>
        </w:numPr>
        <w:pStyle w:val="Compact"/>
      </w:pPr>
      <w:r>
        <w:rPr>
          <w:bCs/>
          <w:b/>
        </w:rPr>
        <w:t xml:space="preserve">Force Majeure:</w:t>
      </w:r>
      <w:r>
        <w:t xml:space="preserve"> </w:t>
      </w:r>
      <w:r>
        <w:t xml:space="preserve">Neither party shall be liable for failure to perform obligations due to circumstances beyond reasonable control, including but not limited to natural disasters, government mandates, or public health emergencies affecting the</w:t>
      </w:r>
      <w:r>
        <w:t xml:space="preserve"> </w:t>
      </w:r>
      <w:r>
        <w:t xml:space="preserve">Egypt Alexandria</w:t>
      </w:r>
      <w:r>
        <w:t xml:space="preserve"> </w:t>
      </w:r>
      <w:r>
        <w:t xml:space="preserve">region.</w:t>
      </w:r>
    </w:p>
    <w:p>
      <w:pPr>
        <w:pStyle w:val="FirstParagraph"/>
      </w:pPr>
      <w:r>
        <w:t xml:space="preserve">6. AUTHORIZED SIGNATURES</w:t>
      </w:r>
    </w:p>
    <w:p>
      <w:pPr>
        <w:pStyle w:val="BodyText"/>
      </w:pPr>
      <w:r>
        <w:rPr>
          <w:bCs/>
          <w:b/>
        </w:rPr>
        <w:t xml:space="preserve">For and on behalf of the Buyer:</w:t>
      </w:r>
    </w:p>
    <w:p>
      <w:pPr>
        <w:pStyle w:val="BodyText"/>
      </w:pPr>
      <w:r>
        <w:t xml:space="preserve">Alexandria General Medical Center</w:t>
      </w:r>
    </w:p>
    <w:p>
      <w:pPr>
        <w:pStyle w:val="BodyText"/>
      </w:pPr>
      <w:r>
        <w:t xml:space="preserve">Dr. Mahmoud El-Sayed</w:t>
      </w:r>
      <w:r>
        <w:br/>
      </w:r>
      <w:r>
        <w:t xml:space="preserve">Chief Medical Officer</w:t>
      </w:r>
      <w:r>
        <w:br/>
      </w:r>
      <w:r>
        <w:t xml:space="preserve">Date: _______________</w:t>
      </w:r>
    </w:p>
    <w:p>
      <w:pPr>
        <w:pStyle w:val="BodyText"/>
      </w:pPr>
      <w:r>
        <w:rPr>
          <w:bCs/>
          <w:b/>
        </w:rPr>
        <w:t xml:space="preserve">Accepted by the Surgeon:</w:t>
      </w:r>
    </w:p>
    <w:p>
      <w:pPr>
        <w:pStyle w:val="BodyText"/>
      </w:pPr>
      <w:r>
        <w:t xml:space="preserve">Dr. Hanaa Fathy Abdel-Rahman, MD, FACS</w:t>
      </w:r>
    </w:p>
    <w:p>
      <w:pPr>
        <w:pStyle w:val="BodyText"/>
      </w:pPr>
      <w:r>
        <w:t xml:space="preserve">Dr. Hanaa Fathy Abdel-Rahman</w:t>
      </w:r>
      <w:r>
        <w:br/>
      </w:r>
      <w:r>
        <w:t xml:space="preserve">General and Vascular Surgeon</w:t>
      </w:r>
      <w:r>
        <w:br/>
      </w:r>
      <w:r>
        <w:t xml:space="preserve">Date: _______________</w:t>
      </w:r>
    </w:p>
    <w:p>
      <w:pPr>
        <w:pStyle w:val="BodyText"/>
      </w:pPr>
      <w:r>
        <w:t xml:space="preserve">This Purchase Order document is the property of Alexandria General Medical Center, Egypt Alexandria. Unauthorized reproduction or distribution is prohibited. Document Reference: PO-EGY-ALX-2025-04782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Egypt Alexandria</dc:title>
  <dc:creator/>
  <dc:language>en</dc:language>
  <cp:keywords/>
  <dcterms:created xsi:type="dcterms:W3CDTF">2026-10-10T09:53:09Z</dcterms:created>
  <dcterms:modified xsi:type="dcterms:W3CDTF">2026-10-10T09:53:09Z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