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Procurement of Qualified Surgeon Professional Services</w:t>
      </w:r>
    </w:p>
    <w:p>
      <w:pPr>
        <w:pStyle w:val="BodyText"/>
      </w:pPr>
      <w:r>
        <w:t xml:space="preserve">MALAYSIA KUALA LUMPUR</w:t>
      </w:r>
    </w:p>
    <w:bookmarkEnd w:id="20"/>
    <w:p>
      <w:pPr>
        <w:pStyle w:val="BodyText"/>
      </w:pPr>
      <w:r>
        <w:rPr>
          <w:bCs/>
          <w:b/>
        </w:rPr>
        <w:t xml:space="preserve">Purchase Order No.:</w:t>
      </w:r>
      <w:r>
        <w:t xml:space="preserve"> </w:t>
      </w:r>
      <w:r>
        <w:t xml:space="preserve">PO-KL-2025-07482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Urgent Medical Procurement</w:t>
      </w:r>
      <w:r>
        <w:br/>
      </w:r>
      <w:r>
        <w:rPr>
          <w:bCs/>
          <w:b/>
        </w:rPr>
        <w:t xml:space="preserve">Department:</w:t>
      </w:r>
      <w:r>
        <w:t xml:space="preserve"> </w:t>
      </w:r>
      <w:r>
        <w:t xml:space="preserve">Surgical Services Division</w:t>
      </w:r>
      <w:r>
        <w:br/>
      </w:r>
      <w:r>
        <w:rPr>
          <w:bCs/>
          <w:b/>
        </w:rPr>
        <w:t xml:space="preserve">Reference:</w:t>
      </w:r>
      <w:r>
        <w:t xml:space="preserve"> </w:t>
      </w:r>
      <w:r>
        <w:t xml:space="preserve">MED-KL/2025/SRG/0042</w:t>
      </w:r>
    </w:p>
    <w:p>
      <w:pPr>
        <w:pStyle w:val="BodyText"/>
      </w:pPr>
      <w:r>
        <w:t xml:space="preserve">1. BUYER INFORMATION (REQUISITIONING ENTITY)</w:t>
      </w:r>
    </w:p>
    <w:bookmarkStart w:id="21" w:name="facility-name"/>
    <w:p>
      <w:pPr>
        <w:pStyle w:val="Heading3"/>
      </w:pPr>
      <w:r>
        <w:t xml:space="preserve">Facility Name</w:t>
      </w:r>
    </w:p>
    <w:p>
      <w:pPr>
        <w:pStyle w:val="FirstParagraph"/>
      </w:pPr>
      <w:r>
        <w:t xml:space="preserve">Penang-KL Integrated Medical Centre Sdn. Bhd.</w:t>
      </w:r>
      <w:r>
        <w:br/>
      </w:r>
      <w:r>
        <w:t xml:space="preserve">Level 12, Menara Medika, Jalan Sultan Ismail,</w:t>
      </w:r>
      <w:r>
        <w:br/>
      </w:r>
      <w:r>
        <w:t xml:space="preserve">50250 Malaysia Kuala Lumpur, Federal Territory of Kuala Lumpur</w:t>
      </w:r>
    </w:p>
    <w:bookmarkEnd w:id="21"/>
    <w:bookmarkStart w:id="22" w:name="contact-details"/>
    <w:p>
      <w:pPr>
        <w:pStyle w:val="Heading3"/>
      </w:pPr>
      <w:r>
        <w:t xml:space="preserve">Contact Details</w:t>
      </w:r>
    </w:p>
    <w:p>
      <w:pPr>
        <w:pStyle w:val="FirstParagraph"/>
      </w:pPr>
      <w:r>
        <w:t xml:space="preserve">Attn: Dr. Ahmad Faizal bin Rahman (Chief Medical Officer)</w:t>
      </w:r>
      <w:r>
        <w:br/>
      </w:r>
      <w:r>
        <w:t xml:space="preserve">Tel: +603-2145-8890</w:t>
      </w:r>
      <w:r>
        <w:br/>
      </w:r>
      <w:r>
        <w:t xml:space="preserve">Email: procurement@penangkl-medcentre.my</w:t>
      </w:r>
      <w:r>
        <w:br/>
      </w:r>
      <w:r>
        <w:t xml:space="preserve">Registration No.: 201901045678 (K)</w:t>
      </w:r>
    </w:p>
    <w:bookmarkEnd w:id="22"/>
    <w:p>
      <w:pPr>
        <w:pStyle w:val="BodyText"/>
      </w:pPr>
      <w:r>
        <w:t xml:space="preserve">2. SELLER / SERVICE PROVIDER INFORMATION</w:t>
      </w:r>
    </w:p>
    <w:bookmarkStart w:id="23" w:name="surgeon-practice-name"/>
    <w:p>
      <w:pPr>
        <w:pStyle w:val="Heading3"/>
      </w:pPr>
      <w:r>
        <w:t xml:space="preserve">Surgeon / Practice Name</w:t>
      </w:r>
    </w:p>
    <w:p>
      <w:pPr>
        <w:pStyle w:val="FirstParagraph"/>
      </w:pPr>
      <w:r>
        <w:t xml:space="preserve">Dr. Tan Wei Ming, MBBS, FRCS (Ed), FACS</w:t>
      </w:r>
      <w:r>
        <w:br/>
      </w:r>
      <w:r>
        <w:t xml:space="preserve">Specialist General &amp; Vascular Surgeon</w:t>
      </w:r>
      <w:r>
        <w:br/>
      </w:r>
      <w:r>
        <w:t xml:space="preserve">Tan Surgical Practice, Suite 804, Level 8,</w:t>
      </w:r>
      <w:r>
        <w:br/>
      </w:r>
      <w:r>
        <w:t xml:space="preserve">The Medical Tower, Jalan Ampang,</w:t>
      </w:r>
      <w:r>
        <w:br/>
      </w:r>
      <w:r>
        <w:t xml:space="preserve">50450 Malaysia Kuala Lumpur</w:t>
      </w:r>
    </w:p>
    <w:bookmarkEnd w:id="23"/>
    <w:bookmarkStart w:id="24" w:name="licensing-registration"/>
    <w:p>
      <w:pPr>
        <w:pStyle w:val="Heading3"/>
      </w:pPr>
      <w:r>
        <w:t xml:space="preserve">Licensing &amp; Registration</w:t>
      </w:r>
    </w:p>
    <w:p>
      <w:pPr>
        <w:pStyle w:val="FirstParagraph"/>
      </w:pPr>
      <w:r>
        <w:t xml:space="preserve">Medical License No.: ML-2003-44821</w:t>
      </w:r>
      <w:r>
        <w:br/>
      </w:r>
      <w:r>
        <w:t xml:space="preserve">Registered with: Malaysian Medical Council (MMC)</w:t>
      </w:r>
      <w:r>
        <w:br/>
      </w:r>
      <w:r>
        <w:t xml:space="preserve">Specialist Registration: MS-2010-07734</w:t>
      </w:r>
      <w:r>
        <w:br/>
      </w:r>
      <w:r>
        <w:t xml:space="preserve">Panel Surgeon, KPJ &amp; Gleneagles Hospital KL</w:t>
      </w:r>
    </w:p>
    <w:bookmarkEnd w:id="24"/>
    <w:p>
      <w:pPr>
        <w:pStyle w:val="BodyText"/>
      </w:pPr>
      <w:r>
        <w:t xml:space="preserve">3. SCOPE OF PROCUREMENT – SURGEON SERVICES</w:t>
      </w:r>
    </w:p>
    <w:p>
      <w:pPr>
        <w:pStyle w:val="BodyText"/>
      </w:pPr>
      <w:r>
        <w:t xml:space="preserve">This Purchase Order is issued by Penang-KL Integrated Medical Centre Sdn. Bhd. to formally engage the services of a qualified and licensed</w:t>
      </w:r>
      <w:r>
        <w:t xml:space="preserve"> </w:t>
      </w:r>
      <w:r>
        <w:rPr>
          <w:bCs/>
          <w:b/>
        </w:rPr>
        <w:t xml:space="preserve">Surgeon</w:t>
      </w:r>
      <w:r>
        <w:t xml:space="preserve"> </w:t>
      </w:r>
      <w:r>
        <w:t xml:space="preserve">for the provision of surgical procedures, pre-operative consultations, intra-operative care, and post-operative follow-up at the facility located in</w:t>
      </w:r>
      <w:r>
        <w:t xml:space="preserve"> </w:t>
      </w:r>
      <w:r>
        <w:rPr>
          <w:bCs/>
          <w:b/>
        </w:rPr>
        <w:t xml:space="preserve">Malaysia Kuala Lumpur</w:t>
      </w:r>
      <w:r>
        <w:t xml:space="preserve">. The Surgeon shall comply with all standards set by the Malaysian Medical Council, the Ministry of Health Malaysia (Kementerian Kesihatan Malaysia), and the hospital's internal clinical governance policies. The engagement of this Surgeon is critical to maintaining the surgical service capacity of the facility and ensuring continuity of patient care in the Malaysia Kuala Lumpur metropolitan region.</w:t>
      </w:r>
    </w:p>
    <w:p>
      <w:pPr>
        <w:pStyle w:val="BodyText"/>
      </w:pPr>
      <w:r>
        <w:t xml:space="preserve">4. 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Est. Date</w:t>
            </w:r>
          </w:p>
        </w:tc>
      </w:tr>
      <w:tr>
        <w:tc>
          <w:tcPr/>
          <w:p>
            <w:pPr>
              <w:pStyle w:val="Compact"/>
              <w:jc w:val="left"/>
            </w:pPr>
            <w:r>
              <w:t xml:space="preserve">1</w:t>
            </w:r>
          </w:p>
        </w:tc>
        <w:tc>
          <w:tcPr/>
          <w:p>
            <w:pPr>
              <w:pStyle w:val="Compact"/>
              <w:jc w:val="left"/>
            </w:pPr>
            <w:r>
              <w:t xml:space="preserve">Pre-operative patient assessment and surgical planning consultation by the Surgeon (per patient)</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38,250.00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General surgical procedures (laparotomy, cholecystectomy, hernia repair) performed by the Surgeon in the Malaysia Kuala Lumpur operating theatre</w:t>
            </w:r>
          </w:p>
        </w:tc>
        <w:tc>
          <w:tcPr/>
          <w:p>
            <w:pPr>
              <w:pStyle w:val="Compact"/>
              <w:jc w:val="left"/>
            </w:pPr>
            <w:r>
              <w:t xml:space="preserve">30</w:t>
            </w:r>
          </w:p>
        </w:tc>
        <w:tc>
          <w:tcPr/>
          <w:p>
            <w:pPr>
              <w:pStyle w:val="Compact"/>
              <w:jc w:val="left"/>
            </w:pPr>
            <w:r>
              <w:t xml:space="preserve">Procedures</w:t>
            </w:r>
          </w:p>
        </w:tc>
        <w:tc>
          <w:tcPr/>
          <w:p>
            <w:pPr>
              <w:pStyle w:val="Compact"/>
              <w:jc w:val="left"/>
            </w:pPr>
            <w:r>
              <w:t xml:space="preserve">6,500.00</w:t>
            </w:r>
          </w:p>
        </w:tc>
        <w:tc>
          <w:tcPr/>
          <w:p>
            <w:pPr>
              <w:pStyle w:val="Compact"/>
              <w:jc w:val="left"/>
            </w:pPr>
            <w:r>
              <w:t xml:space="preserve">195,000.00</w:t>
            </w:r>
          </w:p>
        </w:tc>
        <w:tc>
          <w:tcPr/>
          <w:p>
            <w:pPr>
              <w:pStyle w:val="Compact"/>
              <w:jc w:val="left"/>
            </w:pPr>
            <w:r>
              <w:t xml:space="preserve">Jul–Sep 2025</w:t>
            </w:r>
          </w:p>
        </w:tc>
      </w:tr>
      <w:tr>
        <w:tc>
          <w:tcPr/>
          <w:p>
            <w:pPr>
              <w:pStyle w:val="Compact"/>
              <w:jc w:val="left"/>
            </w:pPr>
            <w:r>
              <w:t xml:space="preserve">3</w:t>
            </w:r>
          </w:p>
        </w:tc>
        <w:tc>
          <w:tcPr/>
          <w:p>
            <w:pPr>
              <w:pStyle w:val="Compact"/>
              <w:jc w:val="left"/>
            </w:pPr>
            <w:r>
              <w:t xml:space="preserve">Emergency surgical intervention on-call availability (24/7 standby) provided by the Surgeon</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108,000.00</w:t>
            </w:r>
          </w:p>
        </w:tc>
        <w:tc>
          <w:tcPr/>
          <w:p>
            <w:pPr>
              <w:pStyle w:val="Compact"/>
              <w:jc w:val="left"/>
            </w:pPr>
            <w:r>
              <w:t xml:space="preserve">Jul–Sep 2025</w:t>
            </w:r>
          </w:p>
        </w:tc>
      </w:tr>
      <w:tr>
        <w:tc>
          <w:tcPr/>
          <w:p>
            <w:pPr>
              <w:pStyle w:val="Compact"/>
              <w:jc w:val="left"/>
            </w:pPr>
            <w:r>
              <w:t xml:space="preserve">4</w:t>
            </w:r>
          </w:p>
        </w:tc>
        <w:tc>
          <w:tcPr/>
          <w:p>
            <w:pPr>
              <w:pStyle w:val="Compact"/>
              <w:jc w:val="left"/>
            </w:pPr>
            <w:r>
              <w:t xml:space="preserve">Post-operative ward rounds and wound review by the Surgeon (per patient, minimum 3 visits)</w:t>
            </w:r>
          </w:p>
        </w:tc>
        <w:tc>
          <w:tcPr/>
          <w:p>
            <w:pPr>
              <w:pStyle w:val="Compact"/>
              <w:jc w:val="left"/>
            </w:pPr>
            <w:r>
              <w:t xml:space="preserve">135</w:t>
            </w:r>
          </w:p>
        </w:tc>
        <w:tc>
          <w:tcPr/>
          <w:p>
            <w:pPr>
              <w:pStyle w:val="Compact"/>
              <w:jc w:val="left"/>
            </w:pPr>
            <w:r>
              <w:t xml:space="preserve">Visits</w:t>
            </w:r>
          </w:p>
        </w:tc>
        <w:tc>
          <w:tcPr/>
          <w:p>
            <w:pPr>
              <w:pStyle w:val="Compact"/>
              <w:jc w:val="left"/>
            </w:pPr>
            <w:r>
              <w:t xml:space="preserve">350.00</w:t>
            </w:r>
          </w:p>
        </w:tc>
        <w:tc>
          <w:tcPr/>
          <w:p>
            <w:pPr>
              <w:pStyle w:val="Compact"/>
              <w:jc w:val="left"/>
            </w:pPr>
            <w:r>
              <w:t xml:space="preserve">47,250.00</w:t>
            </w:r>
          </w:p>
        </w:tc>
        <w:tc>
          <w:tcPr/>
          <w:p>
            <w:pPr>
              <w:pStyle w:val="Compact"/>
              <w:jc w:val="left"/>
            </w:pPr>
            <w:r>
              <w:t xml:space="preserve">Jul–Sep 2025</w:t>
            </w:r>
          </w:p>
        </w:tc>
      </w:tr>
      <w:tr>
        <w:tc>
          <w:tcPr/>
          <w:p>
            <w:pPr>
              <w:pStyle w:val="Compact"/>
              <w:jc w:val="left"/>
            </w:pPr>
            <w:r>
              <w:t xml:space="preserve">5</w:t>
            </w:r>
          </w:p>
        </w:tc>
        <w:tc>
          <w:tcPr/>
          <w:p>
            <w:pPr>
              <w:pStyle w:val="Compact"/>
              <w:jc w:val="left"/>
            </w:pPr>
            <w:r>
              <w:t xml:space="preserve">Surgical training and mentorship sessions conducted by the Surgeon for junior surgical residents at the Malaysia Kuala Lumpur facility</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Aug 2025</w:t>
            </w:r>
          </w:p>
        </w:tc>
      </w:tr>
      <w:tr>
        <w:tc>
          <w:tcPr/>
          <w:p>
            <w:pPr>
              <w:pStyle w:val="Compact"/>
              <w:jc w:val="left"/>
            </w:pPr>
            <w:r>
              <w:t xml:space="preserve">6</w:t>
            </w:r>
          </w:p>
        </w:tc>
        <w:tc>
          <w:tcPr/>
          <w:p>
            <w:pPr>
              <w:pStyle w:val="Compact"/>
              <w:jc w:val="left"/>
            </w:pPr>
            <w:r>
              <w:t xml:space="preserve">Provision of specialized surgical instruments and implants (supplied by the Surgeon's practice) for use during procedures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 2025</w:t>
            </w:r>
          </w:p>
        </w:tc>
      </w:tr>
      <w:tr>
        <w:tc>
          <w:tcPr/>
          <w:p>
            <w:pPr>
              <w:pStyle w:val="Compact"/>
              <w:jc w:val="left"/>
            </w:pPr>
            <w:r>
              <w:t xml:space="preserve">7</w:t>
            </w:r>
          </w:p>
        </w:tc>
        <w:tc>
          <w:tcPr/>
          <w:p>
            <w:pPr>
              <w:pStyle w:val="Compact"/>
              <w:jc w:val="left"/>
            </w:pPr>
            <w:r>
              <w:t xml:space="preserve">Medical malpractice and professional indemnity insurance coverage for the Surgeon (9-month policy)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 2025</w:t>
            </w:r>
          </w:p>
        </w:tc>
      </w:tr>
      <w:tr>
        <w:tc>
          <w:tcPr>
            <w:gridSpan w:val="5"/>
          </w:tcPr>
          <w:p>
            <w:pPr>
              <w:pStyle w:val="Compact"/>
              <w:jc w:val="right"/>
            </w:pPr>
            <w:r>
              <w:t xml:space="preserve">GRAND TOTAL (MYR):</w:t>
            </w:r>
          </w:p>
        </w:tc>
        <w:tc>
          <w:tcPr/>
          <w:p>
            <w:pPr>
              <w:pStyle w:val="Compact"/>
              <w:jc w:val="left"/>
            </w:pPr>
            <w:r>
              <w:t xml:space="preserve">475,000.00</w:t>
            </w:r>
          </w:p>
        </w:tc>
        <w:tc>
          <w:tcPr/>
          <w:p>
            <w:pPr>
              <w:pStyle w:val="Compact"/>
            </w:pPr>
          </w:p>
        </w:tc>
      </w:tr>
      <w:tr>
        <w:tc>
          <w:tcPr>
            <w:gridSpan w:val="5"/>
          </w:tcPr>
          <w:p>
            <w:pPr>
              <w:pStyle w:val="Compact"/>
              <w:jc w:val="right"/>
            </w:pPr>
            <w:r>
              <w:t xml:space="preserve">SST (6%):</w:t>
            </w:r>
          </w:p>
        </w:tc>
        <w:tc>
          <w:tcPr/>
          <w:p>
            <w:pPr>
              <w:pStyle w:val="Compact"/>
              <w:jc w:val="left"/>
            </w:pPr>
            <w:r>
              <w:t xml:space="preserve">28,500.00</w:t>
            </w:r>
          </w:p>
        </w:tc>
        <w:tc>
          <w:tcPr/>
          <w:p>
            <w:pPr>
              <w:pStyle w:val="Compact"/>
            </w:pPr>
          </w:p>
        </w:tc>
      </w:tr>
      <w:tr>
        <w:tc>
          <w:tcPr>
            <w:gridSpan w:val="5"/>
          </w:tcPr>
          <w:p>
            <w:pPr>
              <w:pStyle w:val="Compact"/>
              <w:jc w:val="right"/>
            </w:pPr>
            <w:r>
              <w:t xml:space="preserve">NET TOTAL PAYABLE (MYR):</w:t>
            </w:r>
          </w:p>
        </w:tc>
        <w:tc>
          <w:tcPr/>
          <w:p>
            <w:pPr>
              <w:pStyle w:val="Compact"/>
              <w:jc w:val="left"/>
            </w:pPr>
            <w:r>
              <w:t xml:space="preserve">503,500.00</w:t>
            </w:r>
          </w:p>
        </w:tc>
        <w:tc>
          <w:tcPr/>
          <w:p>
            <w:pPr>
              <w:pStyle w:val="Compact"/>
            </w:pP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Surgeon or the Surgeon's authorized representative within seven (7) calendar days of the date of issue. Failure to respond within this period shall render this Purchase Order null and void.</w:t>
      </w:r>
    </w:p>
    <w:p>
      <w:pPr>
        <w:numPr>
          <w:ilvl w:val="0"/>
          <w:numId w:val="1001"/>
        </w:numPr>
        <w:pStyle w:val="Compact"/>
      </w:pPr>
      <w:r>
        <w:rPr>
          <w:bCs/>
          <w:b/>
        </w:rPr>
        <w:t xml:space="preserve">Scope of Practice:</w:t>
      </w:r>
      <w:r>
        <w:t xml:space="preserve"> </w:t>
      </w:r>
      <w:r>
        <w:t xml:space="preserve">The Surgeon shall perform all surgical procedures in strict accordance with the Malaysian Medical Council's Code of Ethics and Professional Conduct, as well as the clinical protocols established by the Malaysia Kuala Lumpur facility. The Surgeon must hold a valid specialist registration and shall not delegate critical surgical steps to unqualified personnel.</w:t>
      </w:r>
    </w:p>
    <w:p>
      <w:pPr>
        <w:numPr>
          <w:ilvl w:val="0"/>
          <w:numId w:val="1001"/>
        </w:numPr>
        <w:pStyle w:val="Compact"/>
      </w:pPr>
      <w:r>
        <w:rPr>
          <w:bCs/>
          <w:b/>
        </w:rPr>
        <w:t xml:space="preserve">Payment Terms:</w:t>
      </w:r>
      <w:r>
        <w:t xml:space="preserve"> </w:t>
      </w:r>
      <w:r>
        <w:t xml:space="preserve">Payment shall be made within thirty (30) days from the date of invoice submission. Invoices must reference this Purchase Order number (PO-KL-2025-07482). Payment shall be processed via bank transfer to the account designated by the Surgeon's practice. All amounts are denominated in Malaysian Ringgit (MYR).</w:t>
      </w:r>
    </w:p>
    <w:p>
      <w:pPr>
        <w:numPr>
          <w:ilvl w:val="0"/>
          <w:numId w:val="1001"/>
        </w:numPr>
        <w:pStyle w:val="Compact"/>
      </w:pPr>
      <w:r>
        <w:rPr>
          <w:bCs/>
          <w:b/>
        </w:rPr>
        <w:t xml:space="preserve">Performance Period:</w:t>
      </w:r>
      <w:r>
        <w:t xml:space="preserve"> </w:t>
      </w:r>
      <w:r>
        <w:t xml:space="preserve">The Surgeon's engagement under this Purchase Order is valid from 1 July 2025 to 30 September 2025. Any extension beyond this period requires a formal amendment to this Purchase Order signed by both parties.</w:t>
      </w:r>
    </w:p>
    <w:p>
      <w:pPr>
        <w:numPr>
          <w:ilvl w:val="0"/>
          <w:numId w:val="1001"/>
        </w:numPr>
        <w:pStyle w:val="Compact"/>
      </w:pPr>
      <w:r>
        <w:rPr>
          <w:bCs/>
          <w:b/>
        </w:rPr>
        <w:t xml:space="preserve">Confidentiality:</w:t>
      </w:r>
      <w:r>
        <w:t xml:space="preserve"> </w:t>
      </w:r>
      <w:r>
        <w:t xml:space="preserve">The Surgeon shall maintain strict confidentiality regarding all patient records, surgical outcomes, and proprietary clinical data encountered during the course of this engagement in Malaysia Kuala Lumpur. This obligation survives the termination of this Purchase Order by a period of five (5)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Surgeon shall complete all scheduled procedures already booked and provide a minimum of two (2) weeks of post-operative follow-up for patients under active care.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Malaysian Mediation Centre. If mediation fails, the matter shall be referred to the courts of competent jurisdiction in Malaysia Kuala Lumpur.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including the Medical Act 1971 (Act 17) and the Personal Data Protection Act 2010 (PDPA).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or pandemics affecting the Malaysia Kuala Lumpur region.</w:t>
      </w:r>
    </w:p>
    <w:p>
      <w:pPr>
        <w:pStyle w:val="FirstParagraph"/>
      </w:pPr>
      <w:r>
        <w:t xml:space="preserve">6. DELIVERY AND EXECUTION DETAILS</w:t>
      </w:r>
    </w:p>
    <w:p>
      <w:pPr>
        <w:pStyle w:val="BodyText"/>
      </w:pPr>
      <w:r>
        <w:t xml:space="preserve">All surgical services shall be performed at the Penang-KL Integrated Medical Centre, located in Malaysia Kuala Lumpur, unless otherwise agreed in writing. The Surgeon is required to report to the facility no later than thirty (30) minutes prior to the scheduled start time of each procedure. The Surgeon shall bring all personal surgical instruments unless otherwise specified in Line Item 6 of this Purchase Order. The facility shall provide all anaesthetic support, nursing staff, operating theatre equipment, and post-operative recovery facilities.</w:t>
      </w:r>
    </w:p>
    <w:p>
      <w:pPr>
        <w:pStyle w:val="BodyText"/>
      </w:pPr>
      <w:r>
        <w:t xml:space="preserve">7. AUTHORIZED SIGNATORIES</w:t>
      </w:r>
    </w:p>
    <w:p>
      <w:pPr>
        <w:pStyle w:val="BodyText"/>
      </w:pPr>
      <w:r>
        <w:rPr>
          <w:bCs/>
          <w:b/>
        </w:rPr>
        <w:t xml:space="preserve">For and on behalf of the Buyer:</w:t>
      </w:r>
    </w:p>
    <w:p>
      <w:pPr>
        <w:pStyle w:val="BodyText"/>
      </w:pPr>
      <w:r>
        <w:t xml:space="preserve">Penang-KL Integrated Medical Centre Sdn. Bhd.</w:t>
      </w:r>
    </w:p>
    <w:p>
      <w:pPr>
        <w:pStyle w:val="BodyText"/>
      </w:pPr>
      <w:r>
        <w:rPr>
          <w:bCs/>
          <w:b/>
        </w:rPr>
        <w:t xml:space="preserve">Name:</w:t>
      </w:r>
      <w:r>
        <w:t xml:space="preserve"> </w:t>
      </w:r>
      <w:r>
        <w:t xml:space="preserve">Dr. Ahmad Faizal bin Rahman</w:t>
      </w:r>
      <w:r>
        <w:br/>
      </w:r>
      <w:r>
        <w:rPr>
          <w:bCs/>
          <w:b/>
        </w:rPr>
        <w:t xml:space="preserve">Title:</w:t>
      </w:r>
      <w:r>
        <w:t xml:space="preserve"> </w:t>
      </w:r>
      <w:r>
        <w:t xml:space="preserve">Chief Medical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Surgeon / Seller:</w:t>
      </w:r>
    </w:p>
    <w:p>
      <w:pPr>
        <w:pStyle w:val="BodyText"/>
      </w:pPr>
      <w:r>
        <w:t xml:space="preserve">Tan Surgical Practice, Malaysia Kuala Lumpur</w:t>
      </w:r>
    </w:p>
    <w:p>
      <w:pPr>
        <w:pStyle w:val="BodyText"/>
      </w:pPr>
      <w:r>
        <w:rPr>
          <w:bCs/>
          <w:b/>
        </w:rPr>
        <w:t xml:space="preserve">Name:</w:t>
      </w:r>
      <w:r>
        <w:t xml:space="preserve"> </w:t>
      </w:r>
      <w:r>
        <w:t xml:space="preserve">Dr. Tan Wei Ming</w:t>
      </w:r>
      <w:r>
        <w:br/>
      </w:r>
      <w:r>
        <w:rPr>
          <w:bCs/>
          <w:b/>
        </w:rPr>
        <w:t xml:space="preserve">Title:</w:t>
      </w:r>
      <w:r>
        <w:t xml:space="preserve"> </w:t>
      </w:r>
      <w:r>
        <w:t xml:space="preserve">Specialist Surgeon / Practice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(PO-KL-2025-07482) is an official procurement document issued by Penang-KL Integrated Medical Centre Sdn. Bhd. for the engagement of a qualified Surgeon in Malaysia Kuala Lumpur. Unauthorized reproduction or distribution of this document is strictly prohibited. All communications regarding this Purchase Order should reference the PO number and be directed to the Procurement Department at procurement@penangkl-medcentre.my.</w:t>
      </w:r>
    </w:p>
    <w:p>
      <w:pPr>
        <w:pStyle w:val="BodyText"/>
      </w:pPr>
      <w:r>
        <w:t xml:space="preserve">© 2025 Penang-KL Integrated Medical Centre Sdn. Bhd. | Malaysia Kuala Lumpur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Malaysia Kuala Lumpur</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