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St. Augustine Medical Center, Inc.</w:t>
      </w:r>
    </w:p>
    <w:p>
      <w:pPr>
        <w:pStyle w:val="BodyText"/>
      </w:pPr>
      <w:r>
        <w:t xml:space="preserve">1200 Quezon Avenue, Diliman,</w:t>
      </w:r>
      <w:r>
        <w:t xml:space="preserve"> </w:t>
      </w:r>
      <w:r>
        <w:t xml:space="preserve">Philippines Manila</w:t>
      </w:r>
      <w:r>
        <w:t xml:space="preserve"> </w:t>
      </w:r>
      <w:r>
        <w:t xml:space="preserve">1101</w:t>
      </w:r>
    </w:p>
    <w:p>
      <w:pPr>
        <w:pStyle w:val="BodyText"/>
      </w:pPr>
      <w:r>
        <w:t xml:space="preserve">Tel: +63 (2) 8921-4455 | Email: procurement@staugustineph.com</w:t>
      </w:r>
    </w:p>
    <w:p>
      <w:pPr>
        <w:pStyle w:val="BodyText"/>
      </w:pPr>
      <w:r>
        <w:t xml:space="preserve">Philippine Securities and Exchange Commission Reg. No. CS2019-045678</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p>
        </w:tc>
        <w:tc>
          <w:tcPr/>
          <w:p>
            <w:pPr>
              <w:pStyle w:val="Compact"/>
              <w:jc w:val="left"/>
            </w:pPr>
            <w:r>
              <w:t xml:space="preserve">PO-2025-0784-SRG</w:t>
            </w:r>
          </w:p>
        </w:tc>
      </w:tr>
      <w:tr>
        <w:tc>
          <w:tcPr/>
          <w:p>
            <w:pPr>
              <w:pStyle w:val="Compact"/>
              <w:jc w:val="left"/>
            </w:pPr>
            <w:r>
              <w:rPr>
                <w:bCs/>
                <w:b/>
              </w:rPr>
              <w:t xml:space="preserve">Date of Issue:</w:t>
            </w:r>
          </w:p>
        </w:tc>
        <w:tc>
          <w:tcPr/>
          <w:p>
            <w:pPr>
              <w:pStyle w:val="Compact"/>
              <w:jc w:val="left"/>
            </w:pPr>
            <w:r>
              <w:t xml:space="preserve">June 15, 2025</w:t>
            </w:r>
          </w:p>
        </w:tc>
      </w:tr>
      <w:tr>
        <w:tc>
          <w:tcPr/>
          <w:p>
            <w:pPr>
              <w:pStyle w:val="Compact"/>
              <w:jc w:val="left"/>
            </w:pPr>
            <w:r>
              <w:rPr>
                <w:bCs/>
                <w:b/>
              </w:rPr>
              <w:t xml:space="preserve">Required Delivery Date:</w:t>
            </w:r>
          </w:p>
        </w:tc>
        <w:tc>
          <w:tcPr/>
          <w:p>
            <w:pPr>
              <w:pStyle w:val="Compact"/>
              <w:jc w:val="left"/>
            </w:pPr>
            <w:r>
              <w:t xml:space="preserve">July 1, 2025</w:t>
            </w:r>
          </w:p>
        </w:tc>
      </w:tr>
      <w:tr>
        <w:tc>
          <w:tcPr/>
          <w:p>
            <w:pPr>
              <w:pStyle w:val="Compact"/>
              <w:jc w:val="left"/>
            </w:pPr>
            <w:r>
              <w:rPr>
                <w:bCs/>
                <w:b/>
              </w:rPr>
              <w:t xml:space="preserve">Payment Terms:</w:t>
            </w:r>
          </w:p>
        </w:tc>
        <w:tc>
          <w:tcPr/>
          <w:p>
            <w:pPr>
              <w:pStyle w:val="Compact"/>
              <w:jc w:val="left"/>
            </w:pPr>
            <w:r>
              <w:t xml:space="preserve">Net 30 Days from Invoice</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 Supplier:</w:t>
            </w:r>
          </w:p>
        </w:tc>
        <w:tc>
          <w:tcPr/>
          <w:p>
            <w:pPr>
              <w:pStyle w:val="Compact"/>
              <w:jc w:val="left"/>
            </w:pPr>
            <w:r>
              <w:t xml:space="preserve">Dr. Ricardo M. Villanueva, MD, FACS</w:t>
            </w:r>
          </w:p>
        </w:tc>
      </w:tr>
      <w:tr>
        <w:tc>
          <w:tcPr/>
          <w:p>
            <w:pPr>
              <w:pStyle w:val="Compact"/>
              <w:jc w:val="left"/>
            </w:pPr>
            <w:r>
              <w:rPr>
                <w:bCs/>
                <w:b/>
              </w:rPr>
              <w:t xml:space="preserve">Specialty:</w:t>
            </w:r>
          </w:p>
        </w:tc>
        <w:tc>
          <w:tcPr/>
          <w:p>
            <w:pPr>
              <w:pStyle w:val="Compact"/>
              <w:jc w:val="left"/>
            </w:pPr>
            <w:r>
              <w:t xml:space="preserve">General and Vascular</w:t>
            </w:r>
            <w:r>
              <w:t xml:space="preserve"> </w:t>
            </w:r>
            <w:r>
              <w:t xml:space="preserve">Surgeon</w:t>
            </w:r>
          </w:p>
        </w:tc>
      </w:tr>
      <w:tr>
        <w:tc>
          <w:tcPr/>
          <w:p>
            <w:pPr>
              <w:pStyle w:val="Compact"/>
              <w:jc w:val="left"/>
            </w:pPr>
            <w:r>
              <w:rPr>
                <w:bCs/>
                <w:b/>
              </w:rPr>
              <w:t xml:space="preserve">License No.:</w:t>
            </w:r>
          </w:p>
        </w:tc>
        <w:tc>
          <w:tcPr/>
          <w:p>
            <w:pPr>
              <w:pStyle w:val="Compact"/>
              <w:jc w:val="left"/>
            </w:pPr>
            <w:r>
              <w:t xml:space="preserve">PRC-2018-456789 (Philippine Board of Surgery)</w:t>
            </w:r>
          </w:p>
        </w:tc>
      </w:tr>
      <w:tr>
        <w:tc>
          <w:tcPr/>
          <w:p>
            <w:pPr>
              <w:pStyle w:val="Compact"/>
              <w:jc w:val="left"/>
            </w:pPr>
            <w:r>
              <w:rPr>
                <w:bCs/>
                <w:b/>
              </w:rPr>
              <w:t xml:space="preserve">Address:</w:t>
            </w:r>
          </w:p>
        </w:tc>
        <w:tc>
          <w:tcPr/>
          <w:p>
            <w:pPr>
              <w:pStyle w:val="Compact"/>
              <w:jc w:val="left"/>
            </w:pPr>
            <w:r>
              <w:t xml:space="preserve">Unit 8B, Medical Plaza, Ortigas Center,</w:t>
            </w:r>
            <w:r>
              <w:t xml:space="preserve"> </w:t>
            </w:r>
            <w:r>
              <w:t xml:space="preserve">Philippines Manila</w:t>
            </w:r>
            <w:r>
              <w:t xml:space="preserve"> </w:t>
            </w:r>
            <w:r>
              <w:t xml:space="preserve">1605</w:t>
            </w:r>
          </w:p>
        </w:tc>
      </w:tr>
    </w:tbl>
    <w:p>
      <w:pPr>
        <w:pStyle w:val="BodyText"/>
      </w:pPr>
      <w:r>
        <w:t xml:space="preserve">PURCHASE ORDER DESCRIPTION</w:t>
      </w:r>
    </w:p>
    <w:p>
      <w:pPr>
        <w:pStyle w:val="BodyText"/>
      </w:pPr>
      <w:r>
        <w:t xml:space="preserve">This</w:t>
      </w:r>
      <w:r>
        <w:t xml:space="preserve"> </w:t>
      </w:r>
      <w:r>
        <w:t xml:space="preserve">Purchase Order</w:t>
      </w:r>
      <w:r>
        <w:t xml:space="preserve"> </w:t>
      </w:r>
      <w:r>
        <w:t xml:space="preserve">is issued by St. Augustine Medical Center, Inc., a duly registered healthcare institution operating in</w:t>
      </w:r>
      <w:r>
        <w:t xml:space="preserve"> </w:t>
      </w:r>
      <w:r>
        <w:t xml:space="preserve">Philippines Manila</w:t>
      </w:r>
      <w:r>
        <w:t xml:space="preserve">, for the procurement of specialized surgical services, surgical instrumentation, and related medical supplies to be rendered by and for the use of a qualified</w:t>
      </w:r>
      <w:r>
        <w:t xml:space="preserve"> </w:t>
      </w:r>
      <w:r>
        <w:t xml:space="preserve">Surgeon</w:t>
      </w:r>
      <w:r>
        <w:t xml:space="preserve">. This document serves as the formal authorization for the vendor to provide the items and services enumerated herein in accordance with the terms, conditions, and specifications set forth below. The</w:t>
      </w:r>
      <w:r>
        <w:t xml:space="preserve"> </w:t>
      </w:r>
      <w:r>
        <w:t xml:space="preserve">Purchase Order</w:t>
      </w:r>
      <w:r>
        <w:t xml:space="preserve"> </w:t>
      </w:r>
      <w:r>
        <w:t xml:space="preserve">is governed by the laws of the Republic of the Philippines and shall be interpreted in compliance with the Philippine Medical Technology Act (RA 5527) and the Philippine Code of Medical Ethics.</w:t>
      </w:r>
    </w:p>
    <w:p>
      <w:pPr>
        <w:pStyle w:val="BodyText"/>
      </w:pPr>
      <w:r>
        <w:t xml:space="preserve">ITEMS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Consultation and pre-operative assessment by a board-certified</w:t>
            </w:r>
            <w:r>
              <w:t xml:space="preserve"> </w:t>
            </w:r>
            <w:r>
              <w:t xml:space="preserve">Surgeon</w:t>
            </w:r>
            <w:r>
              <w:t xml:space="preserve"> </w:t>
            </w:r>
            <w:r>
              <w:t xml:space="preserve">for elective laparoscopic cholecystectomy procedures (per patient, up to 50 patients)</w:t>
            </w:r>
          </w:p>
        </w:tc>
        <w:tc>
          <w:tcPr/>
          <w:p>
            <w:pPr>
              <w:pStyle w:val="Compact"/>
              <w:jc w:val="left"/>
            </w:pPr>
            <w:r>
              <w:t xml:space="preserve">50</w:t>
            </w:r>
          </w:p>
        </w:tc>
        <w:tc>
          <w:tcPr/>
          <w:p>
            <w:pPr>
              <w:pStyle w:val="Compact"/>
              <w:jc w:val="left"/>
            </w:pPr>
            <w:r>
              <w:t xml:space="preserve">Patients</w:t>
            </w:r>
          </w:p>
        </w:tc>
        <w:tc>
          <w:tcPr/>
          <w:p>
            <w:pPr>
              <w:pStyle w:val="Compact"/>
              <w:jc w:val="left"/>
            </w:pPr>
            <w:r>
              <w:t xml:space="preserve">12,500.00</w:t>
            </w:r>
          </w:p>
        </w:tc>
        <w:tc>
          <w:tcPr/>
          <w:p>
            <w:pPr>
              <w:pStyle w:val="Compact"/>
              <w:jc w:val="left"/>
            </w:pPr>
            <w:r>
              <w:t xml:space="preserve">625,000.00</w:t>
            </w:r>
          </w:p>
        </w:tc>
      </w:tr>
      <w:tr>
        <w:tc>
          <w:tcPr/>
          <w:p>
            <w:pPr>
              <w:pStyle w:val="Compact"/>
              <w:jc w:val="left"/>
            </w:pPr>
            <w:r>
              <w:t xml:space="preserve">2</w:t>
            </w:r>
          </w:p>
        </w:tc>
        <w:tc>
          <w:tcPr/>
          <w:p>
            <w:pPr>
              <w:pStyle w:val="Compact"/>
              <w:jc w:val="left"/>
            </w:pPr>
            <w:r>
              <w:t xml:space="preserve">Surgical procedure: Laparoscopic cholecystectomy performed by the designated</w:t>
            </w:r>
            <w:r>
              <w:t xml:space="preserve"> </w:t>
            </w:r>
            <w:r>
              <w:t xml:space="preserve">Surgeon</w:t>
            </w:r>
            <w:r>
              <w:t xml:space="preserve"> </w:t>
            </w:r>
            <w:r>
              <w:t xml:space="preserve">in the operating theater of St. Augustine Medical Center,</w:t>
            </w:r>
            <w:r>
              <w:t xml:space="preserve"> </w:t>
            </w:r>
            <w:r>
              <w:t xml:space="preserve">Philippines Manila</w:t>
            </w:r>
          </w:p>
        </w:tc>
        <w:tc>
          <w:tcPr/>
          <w:p>
            <w:pPr>
              <w:pStyle w:val="Compact"/>
              <w:jc w:val="left"/>
            </w:pPr>
            <w:r>
              <w:t xml:space="preserve">50</w:t>
            </w:r>
          </w:p>
        </w:tc>
        <w:tc>
          <w:tcPr/>
          <w:p>
            <w:pPr>
              <w:pStyle w:val="Compact"/>
              <w:jc w:val="left"/>
            </w:pPr>
            <w:r>
              <w:t xml:space="preserve">Procedures</w:t>
            </w:r>
          </w:p>
        </w:tc>
        <w:tc>
          <w:tcPr/>
          <w:p>
            <w:pPr>
              <w:pStyle w:val="Compact"/>
              <w:jc w:val="left"/>
            </w:pPr>
            <w:r>
              <w:t xml:space="preserve">85,000.00</w:t>
            </w:r>
          </w:p>
        </w:tc>
        <w:tc>
          <w:tcPr/>
          <w:p>
            <w:pPr>
              <w:pStyle w:val="Compact"/>
              <w:jc w:val="left"/>
            </w:pPr>
            <w:r>
              <w:t xml:space="preserve">4,250,000.00</w:t>
            </w:r>
          </w:p>
        </w:tc>
      </w:tr>
      <w:tr>
        <w:tc>
          <w:tcPr/>
          <w:p>
            <w:pPr>
              <w:pStyle w:val="Compact"/>
              <w:jc w:val="left"/>
            </w:pPr>
            <w:r>
              <w:t xml:space="preserve">3</w:t>
            </w:r>
          </w:p>
        </w:tc>
        <w:tc>
          <w:tcPr/>
          <w:p>
            <w:pPr>
              <w:pStyle w:val="Compact"/>
              <w:jc w:val="left"/>
            </w:pPr>
            <w:r>
              <w:t xml:space="preserve">Post-operative follow-up and wound management by the</w:t>
            </w:r>
            <w:r>
              <w:t xml:space="preserve"> </w:t>
            </w:r>
            <w:r>
              <w:t xml:space="preserve">Surgeon</w:t>
            </w:r>
            <w:r>
              <w:t xml:space="preserve"> </w:t>
            </w:r>
            <w:r>
              <w:t xml:space="preserve">(3 follow-up visits per patient)</w:t>
            </w:r>
          </w:p>
        </w:tc>
        <w:tc>
          <w:tcPr/>
          <w:p>
            <w:pPr>
              <w:pStyle w:val="Compact"/>
              <w:jc w:val="left"/>
            </w:pPr>
            <w:r>
              <w:t xml:space="preserve">150</w:t>
            </w:r>
          </w:p>
        </w:tc>
        <w:tc>
          <w:tcPr/>
          <w:p>
            <w:pPr>
              <w:pStyle w:val="Compact"/>
              <w:jc w:val="left"/>
            </w:pPr>
            <w:r>
              <w:t xml:space="preserve">Visits</w:t>
            </w:r>
          </w:p>
        </w:tc>
        <w:tc>
          <w:tcPr/>
          <w:p>
            <w:pPr>
              <w:pStyle w:val="Compact"/>
              <w:jc w:val="left"/>
            </w:pPr>
            <w:r>
              <w:t xml:space="preserve">3,500.00</w:t>
            </w:r>
          </w:p>
        </w:tc>
        <w:tc>
          <w:tcPr/>
          <w:p>
            <w:pPr>
              <w:pStyle w:val="Compact"/>
              <w:jc w:val="left"/>
            </w:pPr>
            <w:r>
              <w:t xml:space="preserve">525,000.00</w:t>
            </w:r>
          </w:p>
        </w:tc>
      </w:tr>
      <w:tr>
        <w:tc>
          <w:tcPr/>
          <w:p>
            <w:pPr>
              <w:pStyle w:val="Compact"/>
              <w:jc w:val="left"/>
            </w:pPr>
            <w:r>
              <w:t xml:space="preserve">4</w:t>
            </w:r>
          </w:p>
        </w:tc>
        <w:tc>
          <w:tcPr/>
          <w:p>
            <w:pPr>
              <w:pStyle w:val="Compact"/>
              <w:jc w:val="left"/>
            </w:pPr>
            <w:r>
              <w:t xml:space="preserve">Disposable laparoscopic surgical instrument set (trocar, graspers, scissors, clips) – FDA Philippines approved, for use by the</w:t>
            </w:r>
            <w:r>
              <w:t xml:space="preserve"> </w:t>
            </w:r>
            <w:r>
              <w:t xml:space="preserve">Surgeon</w:t>
            </w:r>
          </w:p>
        </w:tc>
        <w:tc>
          <w:tcPr/>
          <w:p>
            <w:pPr>
              <w:pStyle w:val="Compact"/>
              <w:jc w:val="left"/>
            </w:pPr>
            <w:r>
              <w:t xml:space="preserve">50</w:t>
            </w:r>
          </w:p>
        </w:tc>
        <w:tc>
          <w:tcPr/>
          <w:p>
            <w:pPr>
              <w:pStyle w:val="Compact"/>
              <w:jc w:val="left"/>
            </w:pPr>
            <w:r>
              <w:t xml:space="preserve">Sets</w:t>
            </w:r>
          </w:p>
        </w:tc>
        <w:tc>
          <w:tcPr/>
          <w:p>
            <w:pPr>
              <w:pStyle w:val="Compact"/>
              <w:jc w:val="left"/>
            </w:pPr>
            <w:r>
              <w:t xml:space="preserve">18,750.00</w:t>
            </w:r>
          </w:p>
        </w:tc>
        <w:tc>
          <w:tcPr/>
          <w:p>
            <w:pPr>
              <w:pStyle w:val="Compact"/>
              <w:jc w:val="left"/>
            </w:pPr>
            <w:r>
              <w:t xml:space="preserve">937,500.00</w:t>
            </w:r>
          </w:p>
        </w:tc>
      </w:tr>
      <w:tr>
        <w:tc>
          <w:tcPr/>
          <w:p>
            <w:pPr>
              <w:pStyle w:val="Compact"/>
              <w:jc w:val="left"/>
            </w:pPr>
            <w:r>
              <w:t xml:space="preserve">5</w:t>
            </w:r>
          </w:p>
        </w:tc>
        <w:tc>
          <w:tcPr/>
          <w:p>
            <w:pPr>
              <w:pStyle w:val="Compact"/>
              <w:jc w:val="left"/>
            </w:pPr>
            <w:r>
              <w:t xml:space="preserve">Surgical suture materials (absorbable and non-absorbable) and hemostatic agents for the</w:t>
            </w:r>
            <w:r>
              <w:t xml:space="preserve"> </w:t>
            </w:r>
            <w:r>
              <w:t xml:space="preserve">Surgeon</w:t>
            </w:r>
            <w:r>
              <w:t xml:space="preserve">'s operative procedures</w:t>
            </w:r>
          </w:p>
        </w:tc>
        <w:tc>
          <w:tcPr/>
          <w:p>
            <w:pPr>
              <w:pStyle w:val="Compact"/>
              <w:jc w:val="left"/>
            </w:pPr>
            <w:r>
              <w:t xml:space="preserve">50</w:t>
            </w:r>
          </w:p>
        </w:tc>
        <w:tc>
          <w:tcPr/>
          <w:p>
            <w:pPr>
              <w:pStyle w:val="Compact"/>
              <w:jc w:val="left"/>
            </w:pPr>
            <w:r>
              <w:t xml:space="preserve">Packages</w:t>
            </w:r>
          </w:p>
        </w:tc>
        <w:tc>
          <w:tcPr/>
          <w:p>
            <w:pPr>
              <w:pStyle w:val="Compact"/>
              <w:jc w:val="left"/>
            </w:pPr>
            <w:r>
              <w:t xml:space="preserve">6,200.00</w:t>
            </w:r>
          </w:p>
        </w:tc>
        <w:tc>
          <w:tcPr/>
          <w:p>
            <w:pPr>
              <w:pStyle w:val="Compact"/>
              <w:jc w:val="left"/>
            </w:pPr>
            <w:r>
              <w:t xml:space="preserve">310,000.00</w:t>
            </w:r>
          </w:p>
        </w:tc>
      </w:tr>
      <w:tr>
        <w:tc>
          <w:tcPr/>
          <w:p>
            <w:pPr>
              <w:pStyle w:val="Compact"/>
              <w:jc w:val="left"/>
            </w:pPr>
            <w:r>
              <w:t xml:space="preserve">6</w:t>
            </w:r>
          </w:p>
        </w:tc>
        <w:tc>
          <w:tcPr/>
          <w:p>
            <w:pPr>
              <w:pStyle w:val="Compact"/>
              <w:jc w:val="left"/>
            </w:pPr>
            <w:r>
              <w:t xml:space="preserve">On-call surgical emergency coverage by the</w:t>
            </w:r>
            <w:r>
              <w:t xml:space="preserve"> </w:t>
            </w:r>
            <w:r>
              <w:t xml:space="preserve">Surgeon</w:t>
            </w:r>
            <w:r>
              <w:t xml:space="preserve"> </w:t>
            </w:r>
            <w:r>
              <w:t xml:space="preserve">(24-hour standby, 30-day contract period)</w:t>
            </w:r>
          </w:p>
        </w:tc>
        <w:tc>
          <w:tcPr/>
          <w:p>
            <w:pPr>
              <w:pStyle w:val="Compact"/>
              <w:jc w:val="left"/>
            </w:pPr>
            <w:r>
              <w:t xml:space="preserve">30</w:t>
            </w:r>
          </w:p>
        </w:tc>
        <w:tc>
          <w:tcPr/>
          <w:p>
            <w:pPr>
              <w:pStyle w:val="Compact"/>
              <w:jc w:val="left"/>
            </w:pPr>
            <w:r>
              <w:t xml:space="preserve">Days</w:t>
            </w:r>
          </w:p>
        </w:tc>
        <w:tc>
          <w:tcPr/>
          <w:p>
            <w:pPr>
              <w:pStyle w:val="Compact"/>
              <w:jc w:val="left"/>
            </w:pPr>
            <w:r>
              <w:t xml:space="preserve">15,000.00</w:t>
            </w:r>
          </w:p>
        </w:tc>
        <w:tc>
          <w:tcPr/>
          <w:p>
            <w:pPr>
              <w:pStyle w:val="Compact"/>
              <w:jc w:val="left"/>
            </w:pPr>
            <w:r>
              <w:t xml:space="preserve">450,000.00</w:t>
            </w:r>
          </w:p>
        </w:tc>
      </w:tr>
      <w:tr>
        <w:tc>
          <w:tcPr/>
          <w:p>
            <w:pPr>
              <w:pStyle w:val="Compact"/>
              <w:jc w:val="left"/>
            </w:pPr>
            <w:r>
              <w:t xml:space="preserve">7</w:t>
            </w:r>
          </w:p>
        </w:tc>
        <w:tc>
          <w:tcPr/>
          <w:p>
            <w:pPr>
              <w:pStyle w:val="Compact"/>
              <w:jc w:val="left"/>
            </w:pPr>
            <w:r>
              <w:t xml:space="preserve">Surgical pathology and histopathology laboratory services for tissue specimens collected during the</w:t>
            </w:r>
            <w:r>
              <w:t xml:space="preserve"> </w:t>
            </w:r>
            <w:r>
              <w:t xml:space="preserve">Surgeon</w:t>
            </w:r>
            <w:r>
              <w:t xml:space="preserve">'s procedures</w:t>
            </w:r>
          </w:p>
        </w:tc>
        <w:tc>
          <w:tcPr/>
          <w:p>
            <w:pPr>
              <w:pStyle w:val="Compact"/>
              <w:jc w:val="left"/>
            </w:pPr>
            <w:r>
              <w:t xml:space="preserve">50</w:t>
            </w:r>
          </w:p>
        </w:tc>
        <w:tc>
          <w:tcPr/>
          <w:p>
            <w:pPr>
              <w:pStyle w:val="Compact"/>
              <w:jc w:val="left"/>
            </w:pPr>
            <w:r>
              <w:t xml:space="preserve">Specimens</w:t>
            </w:r>
          </w:p>
        </w:tc>
        <w:tc>
          <w:tcPr/>
          <w:p>
            <w:pPr>
              <w:pStyle w:val="Compact"/>
              <w:jc w:val="left"/>
            </w:pPr>
            <w:r>
              <w:t xml:space="preserve">4,800.00</w:t>
            </w:r>
          </w:p>
        </w:tc>
        <w:tc>
          <w:tcPr/>
          <w:p>
            <w:pPr>
              <w:pStyle w:val="Compact"/>
              <w:jc w:val="left"/>
            </w:pPr>
            <w:r>
              <w:t xml:space="preserve">240,000.00</w:t>
            </w:r>
          </w:p>
        </w:tc>
      </w:tr>
      <w:tr>
        <w:tc>
          <w:tcPr/>
          <w:p>
            <w:pPr>
              <w:pStyle w:val="Compact"/>
              <w:jc w:val="left"/>
            </w:pPr>
            <w:r>
              <w:t xml:space="preserve">8</w:t>
            </w:r>
          </w:p>
        </w:tc>
        <w:tc>
          <w:tcPr/>
          <w:p>
            <w:pPr>
              <w:pStyle w:val="Compact"/>
              <w:jc w:val="left"/>
            </w:pPr>
            <w:r>
              <w:t xml:space="preserve">Medical waste disposal and biohazardous material handling in compliance with DENR and DOH regulations in</w:t>
            </w:r>
            <w:r>
              <w:t xml:space="preserve"> </w:t>
            </w:r>
            <w:r>
              <w:t xml:space="preserve">Philippines Manila</w:t>
            </w:r>
          </w:p>
        </w:tc>
        <w:tc>
          <w:tcPr/>
          <w:p>
            <w:pPr>
              <w:pStyle w:val="Compact"/>
              <w:jc w:val="left"/>
            </w:pPr>
            <w:r>
              <w:t xml:space="preserve">50</w:t>
            </w:r>
          </w:p>
        </w:tc>
        <w:tc>
          <w:tcPr/>
          <w:p>
            <w:pPr>
              <w:pStyle w:val="Compact"/>
              <w:jc w:val="left"/>
            </w:pPr>
            <w:r>
              <w:t xml:space="preserve">Procedures</w:t>
            </w:r>
          </w:p>
        </w:tc>
        <w:tc>
          <w:tcPr/>
          <w:p>
            <w:pPr>
              <w:pStyle w:val="Compact"/>
              <w:jc w:val="left"/>
            </w:pPr>
            <w:r>
              <w:t xml:space="preserve">1,200.00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PHP 7,397,500.00</w:t>
            </w:r>
          </w:p>
        </w:tc>
      </w:tr>
      <w:tr>
        <w:tc>
          <w:tcPr/>
          <w:p>
            <w:pPr>
              <w:pStyle w:val="Compact"/>
              <w:jc w:val="left"/>
            </w:pPr>
            <w:r>
              <w:t xml:space="preserve">VAT (12%):</w:t>
            </w:r>
          </w:p>
        </w:tc>
        <w:tc>
          <w:tcPr/>
          <w:p>
            <w:pPr>
              <w:pStyle w:val="Compact"/>
              <w:jc w:val="right"/>
            </w:pPr>
            <w:r>
              <w:t xml:space="preserve">PHP 887,700.00</w:t>
            </w:r>
          </w:p>
        </w:tc>
      </w:tr>
      <w:tr>
        <w:tc>
          <w:tcPr/>
          <w:p>
            <w:pPr>
              <w:pStyle w:val="Compact"/>
              <w:jc w:val="left"/>
            </w:pPr>
            <w:r>
              <w:t xml:space="preserve">Withholding Tax (2%):</w:t>
            </w:r>
          </w:p>
        </w:tc>
        <w:tc>
          <w:tcPr/>
          <w:p>
            <w:pPr>
              <w:pStyle w:val="Compact"/>
              <w:jc w:val="right"/>
            </w:pPr>
            <w:r>
              <w:t xml:space="preserve">(PHP 147,950.00)</w:t>
            </w:r>
          </w:p>
        </w:tc>
      </w:tr>
      <w:tr>
        <w:tc>
          <w:tcPr/>
          <w:p>
            <w:pPr>
              <w:pStyle w:val="Compact"/>
              <w:jc w:val="left"/>
            </w:pPr>
            <w:r>
              <w:t xml:space="preserve">GRAND TOTAL:</w:t>
            </w:r>
          </w:p>
        </w:tc>
        <w:tc>
          <w:tcPr/>
          <w:p>
            <w:pPr>
              <w:pStyle w:val="Compact"/>
              <w:jc w:val="right"/>
            </w:pPr>
            <w:r>
              <w:t xml:space="preserve">PHP 8,137,250.00</w:t>
            </w:r>
          </w:p>
        </w:tc>
      </w:tr>
    </w:tbl>
    <w:p>
      <w:pPr>
        <w:pStyle w:val="BodyText"/>
      </w:pPr>
      <w:r>
        <w:t xml:space="preserve">TERMS AND CONDITIONS</w:t>
      </w:r>
    </w:p>
    <w:p>
      <w:pPr>
        <w:numPr>
          <w:ilvl w:val="0"/>
          <w:numId w:val="1001"/>
        </w:numPr>
        <w:pStyle w:val="Compact"/>
      </w:pPr>
      <w:r>
        <w:rPr>
          <w:bCs/>
          <w:b/>
        </w:rPr>
        <w:t xml:space="preserve">Scope of Services:</w:t>
      </w:r>
      <w:r>
        <w:t xml:space="preserve"> </w:t>
      </w:r>
      <w:r>
        <w:t xml:space="preserve">The</w:t>
      </w:r>
      <w:r>
        <w:t xml:space="preserve"> </w:t>
      </w:r>
      <w:r>
        <w:t xml:space="preserve">Surgeon</w:t>
      </w:r>
      <w:r>
        <w:t xml:space="preserve"> </w:t>
      </w:r>
      <w:r>
        <w:t xml:space="preserve">identified in this</w:t>
      </w:r>
      <w:r>
        <w:t xml:space="preserve"> </w:t>
      </w:r>
      <w:r>
        <w:t xml:space="preserve">Purchase Order</w:t>
      </w:r>
      <w:r>
        <w:t xml:space="preserve"> </w:t>
      </w:r>
      <w:r>
        <w:t xml:space="preserve">shall perform all surgical procedures in strict accordance with the Philippine Board of Surgery standards, the hospital's clinical protocols, and the informed consent of each patient. All services shall be rendered at the St. Augustine Medical Center facility located in</w:t>
      </w:r>
      <w:r>
        <w:t xml:space="preserve"> </w:t>
      </w:r>
      <w:r>
        <w:t xml:space="preserve">Philippines Manila</w:t>
      </w:r>
      <w:r>
        <w:t xml:space="preserve">.</w:t>
      </w:r>
    </w:p>
    <w:p>
      <w:pPr>
        <w:numPr>
          <w:ilvl w:val="0"/>
          <w:numId w:val="1001"/>
        </w:numPr>
        <w:pStyle w:val="Compact"/>
      </w:pPr>
      <w:r>
        <w:rPr>
          <w:bCs/>
          <w:b/>
        </w:rPr>
        <w:t xml:space="preserve">Qualifications:</w:t>
      </w:r>
      <w:r>
        <w:t xml:space="preserve"> </w:t>
      </w:r>
      <w:r>
        <w:t xml:space="preserve">The</w:t>
      </w:r>
      <w:r>
        <w:t xml:space="preserve"> </w:t>
      </w:r>
      <w:r>
        <w:t xml:space="preserve">Surgeon</w:t>
      </w:r>
      <w:r>
        <w:t xml:space="preserve"> </w:t>
      </w:r>
      <w:r>
        <w:t xml:space="preserve">must maintain a valid and active license from the Philippine Board of Surgery, a current Professional Regulation Commission (PRC) certificate, and a valid Medical License from the Philippine Board of Medicine. Proof of malpractice insurance with a minimum coverage of PHP 10,000,000 per occurrence is required prior to the commencement of services.</w:t>
      </w:r>
    </w:p>
    <w:p>
      <w:pPr>
        <w:numPr>
          <w:ilvl w:val="0"/>
          <w:numId w:val="1001"/>
        </w:numPr>
        <w:pStyle w:val="Compact"/>
      </w:pPr>
      <w:r>
        <w:rPr>
          <w:bCs/>
          <w:b/>
        </w:rPr>
        <w:t xml:space="preserve">Delivery and Performance:</w:t>
      </w:r>
      <w:r>
        <w:t xml:space="preserve"> </w:t>
      </w:r>
      <w:r>
        <w:t xml:space="preserve">All surgical procedures and services outlined in this</w:t>
      </w:r>
      <w:r>
        <w:t xml:space="preserve"> </w:t>
      </w:r>
      <w:r>
        <w:t xml:space="preserve">Purchase Order</w:t>
      </w:r>
      <w:r>
        <w:t xml:space="preserve"> </w:t>
      </w:r>
      <w:r>
        <w:t xml:space="preserve">shall be completed within the timeframe specified. The</w:t>
      </w:r>
      <w:r>
        <w:t xml:space="preserve"> </w:t>
      </w:r>
      <w:r>
        <w:t xml:space="preserve">Surgeon</w:t>
      </w:r>
      <w:r>
        <w:t xml:space="preserve"> </w:t>
      </w:r>
      <w:r>
        <w:t xml:space="preserve">shall report to the operating theater at least thirty (30) minutes prior to the scheduled procedure time. Any delays must be communicated to the hospital's surgical coordinator no later than two (2) hours before the scheduled start time.</w:t>
      </w:r>
    </w:p>
    <w:p>
      <w:pPr>
        <w:numPr>
          <w:ilvl w:val="0"/>
          <w:numId w:val="1001"/>
        </w:numPr>
        <w:pStyle w:val="Compact"/>
      </w:pPr>
      <w:r>
        <w:rPr>
          <w:bCs/>
          <w:b/>
        </w:rPr>
        <w:t xml:space="preserve">Payment:</w:t>
      </w:r>
      <w:r>
        <w:t xml:space="preserve"> </w:t>
      </w:r>
      <w:r>
        <w:t xml:space="preserve">Payment shall be made within thirty (30) calendar days from the date of receipt of a valid invoice. The</w:t>
      </w:r>
      <w:r>
        <w:t xml:space="preserve"> </w:t>
      </w:r>
      <w:r>
        <w:t xml:space="preserve">Purchase Order</w:t>
      </w:r>
      <w:r>
        <w:t xml:space="preserve"> </w:t>
      </w:r>
      <w:r>
        <w:t xml:space="preserve">number (PO-2025-0784-SRG) must be referenced on all invoices submitted. Payment shall be processed via bank transfer to the account designated by the</w:t>
      </w:r>
      <w:r>
        <w:t xml:space="preserve"> </w:t>
      </w:r>
      <w:r>
        <w:t xml:space="preserve">Surgeon</w:t>
      </w:r>
      <w:r>
        <w:t xml:space="preserve"> </w:t>
      </w:r>
      <w:r>
        <w:t xml:space="preserve">or his authorized representative.</w:t>
      </w:r>
    </w:p>
    <w:p>
      <w:pPr>
        <w:numPr>
          <w:ilvl w:val="0"/>
          <w:numId w:val="1001"/>
        </w:numPr>
        <w:pStyle w:val="Compact"/>
      </w:pPr>
      <w:r>
        <w:rPr>
          <w:bCs/>
          <w:b/>
        </w:rPr>
        <w:t xml:space="preserve">Compliance with Local Regulations:</w:t>
      </w:r>
      <w:r>
        <w:t xml:space="preserve"> </w:t>
      </w:r>
      <w:r>
        <w:t xml:space="preserve">All activities under this</w:t>
      </w:r>
      <w:r>
        <w:t xml:space="preserve"> </w:t>
      </w:r>
      <w:r>
        <w:t xml:space="preserve">Purchase Order</w:t>
      </w:r>
      <w:r>
        <w:t xml:space="preserve"> </w:t>
      </w:r>
      <w:r>
        <w:t xml:space="preserve">shall comply with the Department of Health (DOH) regulations, the Philippine Food and Drug Administration (FDA) requirements for medical devices, and all applicable municipal ordinances in</w:t>
      </w:r>
      <w:r>
        <w:t xml:space="preserve"> </w:t>
      </w:r>
      <w:r>
        <w:t xml:space="preserve">Philippines Manila</w:t>
      </w:r>
      <w:r>
        <w:t xml:space="preserve">. The</w:t>
      </w:r>
      <w:r>
        <w:t xml:space="preserve"> </w:t>
      </w:r>
      <w:r>
        <w:t xml:space="preserve">Surgeon</w:t>
      </w:r>
      <w:r>
        <w:t xml:space="preserve"> </w:t>
      </w:r>
      <w:r>
        <w:t xml:space="preserve">shall ensure that all surgical instruments and consumables are FDA Philippines registered and within their expiration dates.</w:t>
      </w:r>
    </w:p>
    <w:p>
      <w:pPr>
        <w:numPr>
          <w:ilvl w:val="0"/>
          <w:numId w:val="1001"/>
        </w:numPr>
        <w:pStyle w:val="Compact"/>
      </w:pPr>
      <w:r>
        <w:rPr>
          <w:bCs/>
          <w:b/>
        </w:rPr>
        <w:t xml:space="preserve">Confidentiality:</w:t>
      </w:r>
      <w:r>
        <w:t xml:space="preserve"> </w:t>
      </w:r>
      <w:r>
        <w:t xml:space="preserve">The</w:t>
      </w:r>
      <w:r>
        <w:t xml:space="preserve"> </w:t>
      </w:r>
      <w:r>
        <w:t xml:space="preserve">Surgeon</w:t>
      </w:r>
      <w:r>
        <w:t xml:space="preserve"> </w:t>
      </w:r>
      <w:r>
        <w:t xml:space="preserve">shall maintain strict confidentiality of all patient records and medical information in accordance with the Philippine Data Privacy Act of 2012 (RA 10173). No patient information shall be disclosed to any third party without written consent.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fifteen (15) days. In the event of termination, the</w:t>
      </w:r>
      <w:r>
        <w:t xml:space="preserve"> </w:t>
      </w:r>
      <w:r>
        <w:t xml:space="preserve">Surgeon</w:t>
      </w:r>
      <w:r>
        <w:t xml:space="preserve"> </w:t>
      </w:r>
      <w:r>
        <w:t xml:space="preserve">shall complete all procedures already scheduled and provide appropriate handover documentation to the hospital's surgical department.</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resolved through good-faith negotiation. If unresolved, the matter shall be submitted to the Philippine Medical Board or the appropriate court of competent jurisdiction in</w:t>
      </w:r>
      <w:r>
        <w:t xml:space="preserve"> </w:t>
      </w:r>
      <w:r>
        <w:t xml:space="preserve">Philippines Manila</w:t>
      </w:r>
      <w:r>
        <w:t xml:space="preserve">.</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a period of ninety (90) days from the date of issue. Any modifications or amendments must be made in writing and signed by both parties.</w:t>
      </w:r>
    </w:p>
    <w:p>
      <w:pPr>
        <w:pStyle w:val="FirstParagraph"/>
      </w:pPr>
      <w:r>
        <w:t xml:space="preserve">AUTHORIZATION AND ACCEPTANCE</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The</w:t>
      </w:r>
      <w:r>
        <w:t xml:space="preserve"> </w:t>
      </w:r>
      <w:r>
        <w:t xml:space="preserve">Surgeon</w:t>
      </w:r>
      <w:r>
        <w:t xml:space="preserve"> </w:t>
      </w:r>
      <w:r>
        <w:t xml:space="preserve">confirms his availability and willingness to perform the services described herein at the designated facility in</w:t>
      </w:r>
      <w:r>
        <w:t xml:space="preserve"> </w:t>
      </w:r>
      <w:r>
        <w:t xml:space="preserve">Philippines Manila</w:t>
      </w:r>
      <w:r>
        <w:t xml:space="preserve">.</w:t>
      </w:r>
    </w:p>
    <w:p>
      <w:pPr>
        <w:pStyle w:val="BodyText"/>
      </w:pPr>
      <w:r>
        <w:rPr>
          <w:bCs/>
          <w:b/>
        </w:rPr>
        <w:t xml:space="preserve">For: St. Augustine Medical Center, Inc.</w:t>
      </w:r>
      <w:r>
        <w:br/>
      </w:r>
      <w:r>
        <w:t xml:space="preserve">Maria L. Santos, MD</w:t>
      </w:r>
      <w:r>
        <w:br/>
      </w:r>
      <w:r>
        <w:t xml:space="preserve">Chief Medical Officer</w:t>
      </w:r>
      <w:r>
        <w:br/>
      </w:r>
      <w:r>
        <w:t xml:space="preserve">Date: ______________________</w:t>
      </w:r>
    </w:p>
    <w:p>
      <w:pPr>
        <w:pStyle w:val="BodyText"/>
      </w:pPr>
      <w:r>
        <w:rPr>
          <w:bCs/>
          <w:b/>
        </w:rPr>
        <w:t xml:space="preserve">For: The Surgeon (Vendor)</w:t>
      </w:r>
      <w:r>
        <w:br/>
      </w:r>
      <w:r>
        <w:t xml:space="preserve">Ricardo M. Villanueva, MD, FACS</w:t>
      </w:r>
      <w:r>
        <w:br/>
      </w:r>
      <w:r>
        <w:t xml:space="preserve">General and Vascular Surgeon</w:t>
      </w:r>
      <w:r>
        <w:br/>
      </w:r>
      <w:r>
        <w:t xml:space="preserve">Date: ______________________</w:t>
      </w:r>
    </w:p>
    <w:p>
      <w:pPr>
        <w:pStyle w:val="BodyText"/>
      </w:pPr>
      <w:r>
        <w:t xml:space="preserve">This</w:t>
      </w:r>
      <w:r>
        <w:t xml:space="preserve"> </w:t>
      </w:r>
      <w:r>
        <w:t xml:space="preserve">Purchase Order</w:t>
      </w:r>
      <w:r>
        <w:t xml:space="preserve"> </w:t>
      </w:r>
      <w:r>
        <w:t xml:space="preserve">(PO-2025-0784-SRG) is the property of St. Augustine Medical Center, Inc.,</w:t>
      </w:r>
      <w:r>
        <w:t xml:space="preserve"> </w:t>
      </w:r>
      <w:r>
        <w:t xml:space="preserve">Philippines Manila</w:t>
      </w:r>
      <w:r>
        <w:t xml:space="preserve">. Unauthorized reproduction or distribution is prohibited. This document is valid only when signed and stamped by both parties. For inquiries, contact the Procurement Department at procurement@staugustineph.com or +63 (2) 8921-4455 ext. 204.</w:t>
      </w:r>
    </w:p>
    <w:p>
      <w:pPr>
        <w:pStyle w:val="BodyText"/>
      </w:pPr>
      <w:r>
        <w:t xml:space="preserve">Page 1 of 1 | Generated: June 15, 2025 | Document Classification: CONFIDENTIAL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Philippines Manila</dc:title>
  <dc:creator/>
  <dc:language>en</dc:language>
  <cp:keywords/>
  <dcterms:created xsi:type="dcterms:W3CDTF">2026-10-10T07:59:36Z</dcterms:created>
  <dcterms:modified xsi:type="dcterms:W3CDTF">2026-10-10T07:59:36Z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