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Professional Medical Services Procurement — Surgeon Engagement</w:t>
      </w:r>
    </w:p>
    <w:p>
      <w:pPr>
        <w:pStyle w:val="BodyText"/>
      </w:pPr>
      <w:r>
        <w:t xml:space="preserve">Issued for: United States Miami, Florida</w:t>
      </w:r>
    </w:p>
    <w:bookmarkEnd w:id="20"/>
    <w:p>
      <w:pPr>
        <w:pStyle w:val="BodyText"/>
      </w:pPr>
      <w:r>
        <w:rPr>
          <w:bCs/>
          <w:b/>
        </w:rPr>
        <w:t xml:space="preserve">Purchase Order No.:</w:t>
      </w:r>
      <w:r>
        <w:t xml:space="preserve"> </w:t>
      </w:r>
      <w:r>
        <w:t xml:space="preserve">PO-2025-MIA-SRG-00472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Priority:</w:t>
      </w:r>
      <w:r>
        <w:t xml:space="preserve"> </w:t>
      </w:r>
      <w:r>
        <w:t xml:space="preserve">HIGH</w:t>
      </w:r>
      <w:r>
        <w:br/>
      </w:r>
      <w:r>
        <w:rPr>
          <w:bCs/>
          <w:b/>
        </w:rPr>
        <w:t xml:space="preserve">Department:</w:t>
      </w:r>
      <w:r>
        <w:t xml:space="preserve"> </w:t>
      </w:r>
      <w:r>
        <w:t xml:space="preserve">Surgical Services</w:t>
      </w:r>
      <w:r>
        <w:br/>
      </w:r>
      <w:r>
        <w:rPr>
          <w:bCs/>
          <w:b/>
        </w:rPr>
        <w:t xml:space="preserve">Location:</w:t>
      </w:r>
      <w:r>
        <w:t xml:space="preserve"> </w:t>
      </w:r>
      <w:r>
        <w:t xml:space="preserve">United States Miami</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Miami Coastal Medical Center, Inc.</w:t>
            </w:r>
          </w:p>
        </w:tc>
      </w:tr>
      <w:tr>
        <w:tc>
          <w:tcPr/>
          <w:p>
            <w:pPr>
              <w:pStyle w:val="Compact"/>
              <w:jc w:val="left"/>
            </w:pPr>
            <w:r>
              <w:rPr>
                <w:bCs/>
                <w:b/>
              </w:rPr>
              <w:t xml:space="preserve">Address:</w:t>
            </w:r>
          </w:p>
        </w:tc>
        <w:tc>
          <w:tcPr/>
          <w:p>
            <w:pPr>
              <w:pStyle w:val="Compact"/>
              <w:jc w:val="left"/>
            </w:pPr>
            <w:r>
              <w:t xml:space="preserve">2847 Brickell Avenue, Suite 1200, Miami, Florida 33133, United States</w:t>
            </w:r>
          </w:p>
        </w:tc>
      </w:tr>
      <w:tr>
        <w:tc>
          <w:tcPr/>
          <w:p>
            <w:pPr>
              <w:pStyle w:val="Compact"/>
              <w:jc w:val="left"/>
            </w:pPr>
            <w:r>
              <w:rPr>
                <w:bCs/>
                <w:b/>
              </w:rPr>
              <w:t xml:space="preserve">Contact Person:</w:t>
            </w:r>
          </w:p>
        </w:tc>
        <w:tc>
          <w:tcPr/>
          <w:p>
            <w:pPr>
              <w:pStyle w:val="Compact"/>
              <w:jc w:val="left"/>
            </w:pPr>
            <w:r>
              <w:t xml:space="preserve">Dr. Elena Vasquez, Chief Medical Officer</w:t>
            </w:r>
          </w:p>
        </w:tc>
      </w:tr>
      <w:tr>
        <w:tc>
          <w:tcPr/>
          <w:p>
            <w:pPr>
              <w:pStyle w:val="Compact"/>
              <w:jc w:val="left"/>
            </w:pPr>
            <w:r>
              <w:rPr>
                <w:bCs/>
                <w:b/>
              </w:rPr>
              <w:t xml:space="preserve">Email:</w:t>
            </w:r>
          </w:p>
        </w:tc>
        <w:tc>
          <w:tcPr/>
          <w:p>
            <w:pPr>
              <w:pStyle w:val="Compact"/>
              <w:jc w:val="left"/>
            </w:pPr>
            <w:r>
              <w:t xml:space="preserve">procurement@miamicoastalmed.org</w:t>
            </w:r>
          </w:p>
        </w:tc>
      </w:tr>
      <w:tr>
        <w:tc>
          <w:tcPr/>
          <w:p>
            <w:pPr>
              <w:pStyle w:val="Compact"/>
              <w:jc w:val="left"/>
            </w:pPr>
            <w:r>
              <w:rPr>
                <w:bCs/>
                <w:b/>
              </w:rPr>
              <w:t xml:space="preserve">Phone:</w:t>
            </w:r>
          </w:p>
        </w:tc>
        <w:tc>
          <w:tcPr/>
          <w:p>
            <w:pPr>
              <w:pStyle w:val="Compact"/>
              <w:jc w:val="left"/>
            </w:pPr>
            <w:r>
              <w:t xml:space="preserve">(305) 555-0198</w:t>
            </w:r>
          </w:p>
        </w:tc>
      </w:tr>
      <w:tr>
        <w:tc>
          <w:tcPr/>
          <w:p>
            <w:pPr>
              <w:pStyle w:val="Compact"/>
              <w:jc w:val="left"/>
            </w:pPr>
            <w:r>
              <w:rPr>
                <w:bCs/>
                <w:b/>
              </w:rPr>
              <w:t xml:space="preserve">Tax ID (EIN):</w:t>
            </w:r>
          </w:p>
        </w:tc>
        <w:tc>
          <w:tcPr/>
          <w:p>
            <w:pPr>
              <w:pStyle w:val="Compact"/>
              <w:jc w:val="left"/>
            </w:pPr>
            <w:r>
              <w:t xml:space="preserve">82-4471903</w:t>
            </w:r>
          </w:p>
        </w:tc>
      </w:tr>
    </w:tbl>
    <w:bookmarkEnd w:id="21"/>
    <w:bookmarkStart w:id="22" w:name="vendor-service-provider-information"/>
    <w:p>
      <w:pPr>
        <w:pStyle w:val="Heading2"/>
      </w:pPr>
      <w:r>
        <w:t xml:space="preserve">2.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Dr. Marcus J. Thornton, M.D., F.A.C.S.</w:t>
            </w:r>
          </w:p>
        </w:tc>
      </w:tr>
      <w:tr>
        <w:tc>
          <w:tcPr/>
          <w:p>
            <w:pPr>
              <w:pStyle w:val="Compact"/>
              <w:jc w:val="left"/>
            </w:pPr>
            <w:r>
              <w:rPr>
                <w:bCs/>
                <w:b/>
              </w:rPr>
              <w:t xml:space="preserve">Specialty:</w:t>
            </w:r>
          </w:p>
        </w:tc>
        <w:tc>
          <w:tcPr/>
          <w:p>
            <w:pPr>
              <w:pStyle w:val="Compact"/>
              <w:jc w:val="left"/>
            </w:pPr>
            <w:r>
              <w:t xml:space="preserve">General &amp; Minimally Invasive Surgery</w:t>
            </w:r>
          </w:p>
        </w:tc>
      </w:tr>
      <w:tr>
        <w:tc>
          <w:tcPr/>
          <w:p>
            <w:pPr>
              <w:pStyle w:val="Compact"/>
              <w:jc w:val="left"/>
            </w:pPr>
            <w:r>
              <w:rPr>
                <w:bCs/>
                <w:b/>
              </w:rPr>
              <w:t xml:space="preserve">Licensure:</w:t>
            </w:r>
          </w:p>
        </w:tc>
        <w:tc>
          <w:tcPr/>
          <w:p>
            <w:pPr>
              <w:pStyle w:val="Compact"/>
              <w:jc w:val="left"/>
            </w:pPr>
            <w:r>
              <w:t xml:space="preserve">Florida Medical License No. ME48291703 (State of Florida, United States)</w:t>
            </w:r>
          </w:p>
        </w:tc>
      </w:tr>
      <w:tr>
        <w:tc>
          <w:tcPr/>
          <w:p>
            <w:pPr>
              <w:pStyle w:val="Compact"/>
              <w:jc w:val="left"/>
            </w:pPr>
            <w:r>
              <w:rPr>
                <w:bCs/>
                <w:b/>
              </w:rPr>
              <w:t xml:space="preserve">Board Certification:</w:t>
            </w:r>
          </w:p>
        </w:tc>
        <w:tc>
          <w:tcPr/>
          <w:p>
            <w:pPr>
              <w:pStyle w:val="Compact"/>
              <w:jc w:val="left"/>
            </w:pPr>
            <w:r>
              <w:t xml:space="preserve">American Board of Surgery — Certified</w:t>
            </w:r>
          </w:p>
        </w:tc>
      </w:tr>
      <w:tr>
        <w:tc>
          <w:tcPr/>
          <w:p>
            <w:pPr>
              <w:pStyle w:val="Compact"/>
              <w:jc w:val="left"/>
            </w:pPr>
            <w:r>
              <w:rPr>
                <w:bCs/>
                <w:b/>
              </w:rPr>
              <w:t xml:space="preserve">Practice Address:</w:t>
            </w:r>
          </w:p>
        </w:tc>
        <w:tc>
          <w:tcPr/>
          <w:p>
            <w:pPr>
              <w:pStyle w:val="Compact"/>
              <w:jc w:val="left"/>
            </w:pPr>
            <w:r>
              <w:t xml:space="preserve">1450 Biscayne Boulevard, Miami, Florida 33132, United States</w:t>
            </w:r>
          </w:p>
        </w:tc>
      </w:tr>
      <w:tr>
        <w:tc>
          <w:tcPr/>
          <w:p>
            <w:pPr>
              <w:pStyle w:val="Compact"/>
              <w:jc w:val="left"/>
            </w:pPr>
            <w:r>
              <w:rPr>
                <w:bCs/>
                <w:b/>
              </w:rPr>
              <w:t xml:space="preserve">Business Entity:</w:t>
            </w:r>
          </w:p>
        </w:tc>
        <w:tc>
          <w:tcPr/>
          <w:p>
            <w:pPr>
              <w:pStyle w:val="Compact"/>
              <w:jc w:val="left"/>
            </w:pPr>
            <w:r>
              <w:t xml:space="preserve">Thornton Surgical Group, LLC (Florida Registered LLC)</w:t>
            </w:r>
          </w:p>
        </w:tc>
      </w:tr>
      <w:tr>
        <w:tc>
          <w:tcPr/>
          <w:p>
            <w:pPr>
              <w:pStyle w:val="Compact"/>
              <w:jc w:val="left"/>
            </w:pPr>
            <w:r>
              <w:rPr>
                <w:bCs/>
                <w:b/>
              </w:rPr>
              <w:t xml:space="preserve">W-9 on File:</w:t>
            </w:r>
          </w:p>
        </w:tc>
        <w:tc>
          <w:tcPr/>
          <w:p>
            <w:pPr>
              <w:pStyle w:val="Compact"/>
              <w:jc w:val="left"/>
            </w:pPr>
            <w:r>
              <w:t xml:space="preserve">Yes — Received May 28, 2025</w:t>
            </w:r>
          </w:p>
        </w:tc>
      </w:tr>
    </w:tbl>
    <w:bookmarkEnd w:id="22"/>
    <w:bookmarkStart w:id="23" w:name="X2fafe53d52cfa6120dc69a6c7e1958210aab57c"/>
    <w:p>
      <w:pPr>
        <w:pStyle w:val="Heading2"/>
      </w:pPr>
      <w:r>
        <w:t xml:space="preserve">3. Scope of Purchase — Surgeon Professional Services</w:t>
      </w:r>
    </w:p>
    <w:p>
      <w:pPr>
        <w:pStyle w:val="FirstParagraph"/>
      </w:pPr>
      <w:r>
        <w:t xml:space="preserve">This Purchase Order authorizes the engagement of a qualified</w:t>
      </w:r>
      <w:r>
        <w:t xml:space="preserve"> </w:t>
      </w:r>
      <w:r>
        <w:t xml:space="preserve">Surgeon</w:t>
      </w:r>
      <w:r>
        <w:t xml:space="preserve"> </w:t>
      </w:r>
      <w:r>
        <w:t xml:space="preserve">to provide comprehensive surgical services at Miami Coastal Medical Center, located in the United States Miami metropolitan area. The Surgeon shall perform, supervise, and manage all surgical procedures within the scope of his board-certified specialty, in full compliance with Florida Department of Health regulations, Joint Commission standards, and all applicable federal and state medical practice laws governing the United States.</w:t>
      </w:r>
    </w:p>
    <w:p>
      <w:pPr>
        <w:pStyle w:val="BodyText"/>
      </w:pPr>
      <w:r>
        <w:t xml:space="preserve">The Surgeon is expected to maintain a minimum of 40 clinical hours per week on-site at the Miami facility, with additional on-call availability for emergency surgical interventions. All services rendered under this Purchase Order shall be conducted within the geographic jurisdiction of Miami-Dade County, Florida, United States, unless prior written authorization is obtained for out-of-area consultations.</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Surgeon — General Surgical Procedures (per operative case, including pre-op evaluation, intra-operative care, and 48-hour post-op follow-up)</w:t>
            </w:r>
          </w:p>
        </w:tc>
        <w:tc>
          <w:tcPr/>
          <w:p>
            <w:pPr>
              <w:pStyle w:val="Compact"/>
              <w:jc w:val="left"/>
            </w:pPr>
            <w:r>
              <w:t xml:space="preserve">Case</w:t>
            </w:r>
          </w:p>
        </w:tc>
        <w:tc>
          <w:tcPr/>
          <w:p>
            <w:pPr>
              <w:pStyle w:val="Compact"/>
              <w:jc w:val="left"/>
            </w:pPr>
            <w:r>
              <w:t xml:space="preserve">120</w:t>
            </w:r>
          </w:p>
        </w:tc>
        <w:tc>
          <w:tcPr/>
          <w:p>
            <w:pPr>
              <w:pStyle w:val="Compact"/>
              <w:jc w:val="left"/>
            </w:pPr>
            <w:r>
              <w:t xml:space="preserve">$4,850.00</w:t>
            </w:r>
          </w:p>
        </w:tc>
        <w:tc>
          <w:tcPr/>
          <w:p>
            <w:pPr>
              <w:pStyle w:val="Compact"/>
              <w:jc w:val="left"/>
            </w:pPr>
            <w:r>
              <w:t xml:space="preserve">$582,000.00</w:t>
            </w:r>
          </w:p>
        </w:tc>
      </w:tr>
      <w:tr>
        <w:tc>
          <w:tcPr/>
          <w:p>
            <w:pPr>
              <w:pStyle w:val="Compact"/>
              <w:jc w:val="left"/>
            </w:pPr>
            <w:r>
              <w:t xml:space="preserve">002</w:t>
            </w:r>
          </w:p>
        </w:tc>
        <w:tc>
          <w:tcPr/>
          <w:p>
            <w:pPr>
              <w:pStyle w:val="Compact"/>
              <w:jc w:val="left"/>
            </w:pPr>
            <w:r>
              <w:t xml:space="preserve">Surgeon — Minimally Invasive / Laparoscopic Surgical Procedures (per operative case)</w:t>
            </w:r>
          </w:p>
        </w:tc>
        <w:tc>
          <w:tcPr/>
          <w:p>
            <w:pPr>
              <w:pStyle w:val="Compact"/>
              <w:jc w:val="left"/>
            </w:pPr>
            <w:r>
              <w:t xml:space="preserve">Case</w:t>
            </w:r>
          </w:p>
        </w:tc>
        <w:tc>
          <w:tcPr/>
          <w:p>
            <w:pPr>
              <w:pStyle w:val="Compact"/>
              <w:jc w:val="left"/>
            </w:pPr>
            <w:r>
              <w:t xml:space="preserve">80</w:t>
            </w:r>
          </w:p>
        </w:tc>
        <w:tc>
          <w:tcPr/>
          <w:p>
            <w:pPr>
              <w:pStyle w:val="Compact"/>
              <w:jc w:val="left"/>
            </w:pPr>
            <w:r>
              <w:t xml:space="preserve">$6,200.00</w:t>
            </w:r>
          </w:p>
        </w:tc>
        <w:tc>
          <w:tcPr/>
          <w:p>
            <w:pPr>
              <w:pStyle w:val="Compact"/>
              <w:jc w:val="left"/>
            </w:pPr>
            <w:r>
              <w:t xml:space="preserve">$496,000.00</w:t>
            </w:r>
          </w:p>
        </w:tc>
      </w:tr>
      <w:tr>
        <w:tc>
          <w:tcPr/>
          <w:p>
            <w:pPr>
              <w:pStyle w:val="Compact"/>
              <w:jc w:val="left"/>
            </w:pPr>
            <w:r>
              <w:t xml:space="preserve">003</w:t>
            </w:r>
          </w:p>
        </w:tc>
        <w:tc>
          <w:tcPr/>
          <w:p>
            <w:pPr>
              <w:pStyle w:val="Compact"/>
              <w:jc w:val="left"/>
            </w:pPr>
            <w:r>
              <w:t xml:space="preserve">Surgeon — Emergency / Urgent Surgical Intervention (per case, 24/7 on-call coverage)</w:t>
            </w:r>
          </w:p>
        </w:tc>
        <w:tc>
          <w:tcPr/>
          <w:p>
            <w:pPr>
              <w:pStyle w:val="Compact"/>
              <w:jc w:val="left"/>
            </w:pPr>
            <w:r>
              <w:t xml:space="preserve">Case</w:t>
            </w:r>
          </w:p>
        </w:tc>
        <w:tc>
          <w:tcPr/>
          <w:p>
            <w:pPr>
              <w:pStyle w:val="Compact"/>
              <w:jc w:val="left"/>
            </w:pPr>
            <w:r>
              <w:t xml:space="preserve">25</w:t>
            </w:r>
          </w:p>
        </w:tc>
        <w:tc>
          <w:tcPr/>
          <w:p>
            <w:pPr>
              <w:pStyle w:val="Compact"/>
              <w:jc w:val="left"/>
            </w:pPr>
            <w:r>
              <w:t xml:space="preserve">$7,500.00</w:t>
            </w:r>
          </w:p>
        </w:tc>
        <w:tc>
          <w:tcPr/>
          <w:p>
            <w:pPr>
              <w:pStyle w:val="Compact"/>
              <w:jc w:val="left"/>
            </w:pPr>
            <w:r>
              <w:t xml:space="preserve">$187,500.00</w:t>
            </w:r>
          </w:p>
        </w:tc>
      </w:tr>
      <w:tr>
        <w:tc>
          <w:tcPr/>
          <w:p>
            <w:pPr>
              <w:pStyle w:val="Compact"/>
              <w:jc w:val="left"/>
            </w:pPr>
            <w:r>
              <w:t xml:space="preserve">004</w:t>
            </w:r>
          </w:p>
        </w:tc>
        <w:tc>
          <w:tcPr/>
          <w:p>
            <w:pPr>
              <w:pStyle w:val="Compact"/>
              <w:jc w:val="left"/>
            </w:pPr>
            <w:r>
              <w:t xml:space="preserve">Surgeon — Weekly Clinical Supervision &amp; Consultation (per week, 40-hour commitment)</w:t>
            </w:r>
          </w:p>
        </w:tc>
        <w:tc>
          <w:tcPr/>
          <w:p>
            <w:pPr>
              <w:pStyle w:val="Compact"/>
              <w:jc w:val="left"/>
            </w:pPr>
            <w:r>
              <w:t xml:space="preserve">Week</w:t>
            </w:r>
          </w:p>
        </w:tc>
        <w:tc>
          <w:tcPr/>
          <w:p>
            <w:pPr>
              <w:pStyle w:val="Compact"/>
              <w:jc w:val="left"/>
            </w:pPr>
            <w:r>
              <w:t xml:space="preserve">52</w:t>
            </w:r>
          </w:p>
        </w:tc>
        <w:tc>
          <w:tcPr/>
          <w:p>
            <w:pPr>
              <w:pStyle w:val="Compact"/>
              <w:jc w:val="left"/>
            </w:pPr>
            <w:r>
              <w:t xml:space="preserve">$3,200.00</w:t>
            </w:r>
          </w:p>
        </w:tc>
        <w:tc>
          <w:tcPr/>
          <w:p>
            <w:pPr>
              <w:pStyle w:val="Compact"/>
              <w:jc w:val="left"/>
            </w:pPr>
            <w:r>
              <w:t xml:space="preserve">$166,400.00</w:t>
            </w:r>
          </w:p>
        </w:tc>
      </w:tr>
      <w:tr>
        <w:tc>
          <w:tcPr/>
          <w:p>
            <w:pPr>
              <w:pStyle w:val="Compact"/>
              <w:jc w:val="left"/>
            </w:pPr>
            <w:r>
              <w:t xml:space="preserve">005</w:t>
            </w:r>
          </w:p>
        </w:tc>
        <w:tc>
          <w:tcPr/>
          <w:p>
            <w:pPr>
              <w:pStyle w:val="Compact"/>
              <w:jc w:val="left"/>
            </w:pPr>
            <w:r>
              <w:t xml:space="preserve">Surgeon — Continuing Medical Education &amp; Board Recertification Support (annual stipend)</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006</w:t>
            </w:r>
          </w:p>
        </w:tc>
        <w:tc>
          <w:tcPr/>
          <w:p>
            <w:pPr>
              <w:pStyle w:val="Compact"/>
              <w:jc w:val="left"/>
            </w:pPr>
            <w:r>
              <w:t xml:space="preserve">Surgeon — Malpractice &amp; Professional Liability Insurance (annual premium, $5M aggregate)</w:t>
            </w:r>
          </w:p>
        </w:tc>
        <w:tc>
          <w:tcPr/>
          <w:p>
            <w:pPr>
              <w:pStyle w:val="Compact"/>
              <w:jc w:val="left"/>
            </w:pPr>
            <w:r>
              <w:t xml:space="preserve">Year</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gridSpan w:val="5"/>
          </w:tcPr>
          <w:p>
            <w:pPr>
              <w:pStyle w:val="Compact"/>
              <w:jc w:val="right"/>
            </w:pPr>
            <w:r>
              <w:t xml:space="preserve">TOTAL CONTRACT VALUE (USD):</w:t>
            </w:r>
          </w:p>
        </w:tc>
        <w:tc>
          <w:tcPr/>
          <w:p>
            <w:pPr>
              <w:pStyle w:val="Compact"/>
              <w:jc w:val="left"/>
            </w:pPr>
            <w:r>
              <w:t xml:space="preserve">$1,472,400.00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Term of Agreement:</w:t>
      </w:r>
      <w:r>
        <w:t xml:space="preserve"> </w:t>
      </w:r>
      <w:r>
        <w:t xml:space="preserve">This Purchase Order shall remain in effect for a period of twelve (12) months from the date of mutual execution, commencing July 1, 2025, and expiring June 30, 2026, unless renewed in writing by both parties.</w:t>
      </w:r>
    </w:p>
    <w:p>
      <w:pPr>
        <w:numPr>
          <w:ilvl w:val="0"/>
          <w:numId w:val="1001"/>
        </w:numPr>
        <w:pStyle w:val="Compact"/>
      </w:pPr>
      <w:r>
        <w:rPr>
          <w:bCs/>
          <w:b/>
        </w:rPr>
        <w:t xml:space="preserve">Payment Terms:</w:t>
      </w:r>
      <w:r>
        <w:t xml:space="preserve"> </w:t>
      </w:r>
      <w:r>
        <w:t xml:space="preserve">Net 30 days from receipt of an itemized invoice. All payments shall be made via ACH transfer to the account designated by the Surgeon's business entity. Invoices must reference this Purchase Order number (PO-2025-MIA-SRG-00472) for processing.</w:t>
      </w:r>
    </w:p>
    <w:p>
      <w:pPr>
        <w:numPr>
          <w:ilvl w:val="0"/>
          <w:numId w:val="1001"/>
        </w:numPr>
        <w:pStyle w:val="Compact"/>
      </w:pPr>
      <w:r>
        <w:rPr>
          <w:bCs/>
          <w:b/>
        </w:rPr>
        <w:t xml:space="preserve">Compliance:</w:t>
      </w:r>
      <w:r>
        <w:t xml:space="preserve"> </w:t>
      </w:r>
      <w:r>
        <w:t xml:space="preserve">The Surgeon shall maintain an active, unrestricted medical license issued by the Florida Board of Medicine throughout the duration of this Purchase Order. Failure to maintain licensure in the State of Florida, United States, shall constitute immediate grounds for termination.</w:t>
      </w:r>
    </w:p>
    <w:p>
      <w:pPr>
        <w:numPr>
          <w:ilvl w:val="0"/>
          <w:numId w:val="1001"/>
        </w:numPr>
        <w:pStyle w:val="Compact"/>
      </w:pPr>
      <w:r>
        <w:rPr>
          <w:bCs/>
          <w:b/>
        </w:rPr>
        <w:t xml:space="preserve">Insurance:</w:t>
      </w:r>
      <w:r>
        <w:t xml:space="preserve"> </w:t>
      </w:r>
      <w:r>
        <w:t xml:space="preserve">The Surgeon shall carry and maintain professional liability insurance with a minimum coverage of $5,000,000 per occurrence and $5,000,000 aggregate, naming Miami Coastal Medical Center as an additional insured. Certificates of insurance must be provided prior to the commencement of services.</w:t>
      </w:r>
    </w:p>
    <w:p>
      <w:pPr>
        <w:numPr>
          <w:ilvl w:val="0"/>
          <w:numId w:val="1001"/>
        </w:numPr>
        <w:pStyle w:val="Compact"/>
      </w:pPr>
      <w:r>
        <w:rPr>
          <w:bCs/>
          <w:b/>
        </w:rPr>
        <w:t xml:space="preserve">Confidentiality:</w:t>
      </w:r>
      <w:r>
        <w:t xml:space="preserve"> </w:t>
      </w:r>
      <w:r>
        <w:t xml:space="preserve">All patient records, surgical data, and proprietary medical information encountered in the United States Miami facility shall be treated as strictly confidential in accordance with the Health Insurance Portability and Accountability Act (HIPAA) and Florida Statute Chapter 395.</w:t>
      </w:r>
    </w:p>
    <w:p>
      <w:pPr>
        <w:numPr>
          <w:ilvl w:val="0"/>
          <w:numId w:val="1001"/>
        </w:numPr>
        <w:pStyle w:val="Compact"/>
      </w:pPr>
      <w:r>
        <w:rPr>
          <w:bCs/>
          <w:b/>
        </w:rPr>
        <w:t xml:space="preserve">Termination:</w:t>
      </w:r>
      <w:r>
        <w:t xml:space="preserve"> </w:t>
      </w:r>
      <w:r>
        <w:t xml:space="preserve">Either party may terminate this Purchase Order with thirty (30) days written notice. Termination for cause (including but not limited to malpractice, license suspension, or breach of contract) may be effected immediately upon written notice.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Florida, United States, and the applicable federal laws of the United States. Any disputes shall be resolved through binding arbitration in Miami, Florida.</w:t>
      </w:r>
    </w:p>
    <w:p>
      <w:pPr>
        <w:numPr>
          <w:ilvl w:val="0"/>
          <w:numId w:val="1001"/>
        </w:numPr>
        <w:pStyle w:val="Compact"/>
      </w:pPr>
      <w:r>
        <w:rPr>
          <w:bCs/>
          <w:b/>
        </w:rPr>
        <w:t xml:space="preserve">Independent Contractor Status:</w:t>
      </w:r>
      <w:r>
        <w:t xml:space="preserve"> </w:t>
      </w:r>
      <w:r>
        <w:t xml:space="preserve">The Surgeon is engaged as an independent contractor and not as an employee of Miami Coastal Medical Center. The Surgeon is solely responsible for all federal and state tax obligations, including self-employment tax, in the United States.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acts of God, natural disasters (including hurricanes affecting the Miami, Florida region), pandemics, or governmental actions beyond reasonable control.</w:t>
      </w:r>
    </w:p>
    <w:bookmarkEnd w:id="25"/>
    <w:bookmarkStart w:id="26" w:name="delivery-commencement-details"/>
    <w:p>
      <w:pPr>
        <w:pStyle w:val="Heading2"/>
      </w:pPr>
      <w:r>
        <w:t xml:space="preserve">6. Delivery / Commencement Details</w:t>
      </w:r>
    </w:p>
    <w:p>
      <w:pPr>
        <w:pStyle w:val="FirstParagraph"/>
      </w:pPr>
      <w:r>
        <w:t xml:space="preserve">Services under this Purchase Order shall commence on</w:t>
      </w:r>
      <w:r>
        <w:t xml:space="preserve"> </w:t>
      </w:r>
      <w:r>
        <w:rPr>
          <w:bCs/>
          <w:b/>
        </w:rPr>
        <w:t xml:space="preserve">July 1, 2025</w:t>
      </w:r>
      <w:r>
        <w:t xml:space="preserve">, at the Miami Coastal Medical Center surgical wing, 2847 Brickell Avenue, Miami, Florida 33133, United States. The Surgeon shall report to the Surgical Services Coordinator no later than 07:00 AM (Eastern Time) on the first day of service. All surgical suites, operating room equipment, and ancillary support staff shall be provided by the facility. The Surgeon shall supply his own surgical instruments and specialty tools unless otherwise specified in a written addendum to this Purchase Order.</w:t>
      </w:r>
    </w:p>
    <w:bookmarkEnd w:id="26"/>
    <w:bookmarkStart w:id="27" w:name="authorization-signatures"/>
    <w:p>
      <w:pPr>
        <w:pStyle w:val="Heading2"/>
      </w:pPr>
      <w:r>
        <w:t xml:space="preserve">7. Authorization &amp; Signatures</w:t>
      </w:r>
    </w:p>
    <w:p>
      <w:pPr>
        <w:pStyle w:val="FirstParagraph"/>
      </w:pPr>
      <w:r>
        <w:t xml:space="preserve">By signing below, both parties acknowledge and agree to all terms, conditions, and obligations set forth in this Purchase Order for the engagement of the Surgeon at the United States Miami facility.</w:t>
      </w:r>
    </w:p>
    <w:p>
      <w:pPr>
        <w:pStyle w:val="BodyText"/>
      </w:pPr>
      <w:r>
        <w:rPr>
          <w:bCs/>
          <w:b/>
        </w:rPr>
        <w:t xml:space="preserve">For Miami Coastal Medical Center, Inc. (Buyer):</w:t>
      </w:r>
    </w:p>
    <w:p>
      <w:pPr>
        <w:pStyle w:val="BodyText"/>
      </w:pPr>
      <w:r>
        <w:t xml:space="preserve">Dr. Elena Vasquez, Chief Medical Officer</w:t>
      </w:r>
      <w:r>
        <w:br/>
      </w:r>
      <w:r>
        <w:t xml:space="preserve">Date: ______________________</w:t>
      </w:r>
    </w:p>
    <w:p>
      <w:pPr>
        <w:pStyle w:val="BodyText"/>
      </w:pPr>
      <w:r>
        <w:rPr>
          <w:bCs/>
          <w:b/>
        </w:rPr>
        <w:t xml:space="preserve">For Thornton Surgical Group, LLC (Surgeon / Vendor):</w:t>
      </w:r>
    </w:p>
    <w:p>
      <w:pPr>
        <w:pStyle w:val="BodyText"/>
      </w:pPr>
      <w:r>
        <w:t xml:space="preserve">Dr. Marcus J. Thornton, M.D., F.A.C.S.</w:t>
      </w:r>
      <w:r>
        <w:br/>
      </w:r>
      <w:r>
        <w:t xml:space="preserve">Date: ______________________</w:t>
      </w:r>
    </w:p>
    <w:bookmarkEnd w:id="27"/>
    <w:p>
      <w:pPr>
        <w:pStyle w:val="BodyText"/>
      </w:pPr>
      <w:r>
        <w:t xml:space="preserve">Purchase Order PO-2025-MIA-SRG-00472 — Miami Coastal Medical Center, Inc. — Miami, Florida, United States</w:t>
      </w:r>
    </w:p>
    <w:p>
      <w:pPr>
        <w:pStyle w:val="BodyText"/>
      </w:pPr>
      <w:r>
        <w:t xml:space="preserve">This document is a controlled procurement record. Unauthorized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Miami, United States</dc:title>
  <dc:creator/>
  <dc:language>en</dc:language>
  <cp:keywords/>
  <dcterms:created xsi:type="dcterms:W3CDTF">2026-10-10T10:21:12Z</dcterms:created>
  <dcterms:modified xsi:type="dcterms:W3CDTF">2026-10-10T10:21:12Z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