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Procurement of Professional Services — Systems Engineer Engagement — Japan Osaka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PO-JPO-2025-04872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Kanto Pacific Technologies Co., Ltd.</w:t>
      </w:r>
    </w:p>
    <w:p>
      <w:pPr>
        <w:pStyle w:val="BodyText"/>
      </w:pPr>
      <w:r>
        <w:rPr>
          <w:bCs/>
          <w:b/>
        </w:rPr>
        <w:t xml:space="preserve">Address:</w:t>
      </w:r>
      <w:r>
        <w:t xml:space="preserve"> </w:t>
      </w:r>
      <w:r>
        <w:t xml:space="preserve">3-14-27 Umeda, Kita-ku, Japan Osaka 530-0001</w:t>
      </w:r>
    </w:p>
    <w:p>
      <w:pPr>
        <w:pStyle w:val="BodyText"/>
      </w:pPr>
      <w:r>
        <w:rPr>
          <w:bCs/>
          <w:b/>
        </w:rPr>
        <w:t xml:space="preserve">Contact:</w:t>
      </w:r>
      <w:r>
        <w:t xml:space="preserve"> </w:t>
      </w:r>
      <w:r>
        <w:t xml:space="preserve">procurement@kantopacific.co.jp</w:t>
      </w:r>
    </w:p>
    <w:p>
      <w:pPr>
        <w:pStyle w:val="BodyText"/>
      </w:pPr>
      <w:r>
        <w:rPr>
          <w:bCs/>
          <w:b/>
        </w:rPr>
        <w:t xml:space="preserve">Phone:</w:t>
      </w:r>
      <w:r>
        <w:t xml:space="preserve"> </w:t>
      </w:r>
      <w:r>
        <w:t xml:space="preserve">+81-6-6371-4420</w:t>
      </w:r>
    </w:p>
    <w:p>
      <w:pPr>
        <w:pStyle w:val="BodyText"/>
      </w:pPr>
      <w:r>
        <w:rPr>
          <w:bCs/>
          <w:b/>
        </w:rPr>
        <w:t xml:space="preserve">Tax ID:</w:t>
      </w:r>
      <w:r>
        <w:t xml:space="preserve"> </w:t>
      </w:r>
      <w:r>
        <w:t xml:space="preserve">9010001234567</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Nihon Engineering Solutions Inc.</w:t>
      </w:r>
    </w:p>
    <w:p>
      <w:pPr>
        <w:pStyle w:val="BodyText"/>
      </w:pPr>
      <w:r>
        <w:rPr>
          <w:bCs/>
          <w:b/>
        </w:rPr>
        <w:t xml:space="preserve">Address:</w:t>
      </w:r>
      <w:r>
        <w:t xml:space="preserve"> </w:t>
      </w:r>
      <w:r>
        <w:t xml:space="preserve">2-8-1 Namba, Chuo-ku, Japan Osaka 542-0073</w:t>
      </w:r>
    </w:p>
    <w:p>
      <w:pPr>
        <w:pStyle w:val="BodyText"/>
      </w:pPr>
      <w:r>
        <w:rPr>
          <w:bCs/>
          <w:b/>
        </w:rPr>
        <w:t xml:space="preserve">Contact:</w:t>
      </w:r>
      <w:r>
        <w:t xml:space="preserve"> </w:t>
      </w:r>
      <w:r>
        <w:t xml:space="preserve">contracts@nihoneng.co.jp</w:t>
      </w:r>
    </w:p>
    <w:p>
      <w:pPr>
        <w:pStyle w:val="BodyText"/>
      </w:pPr>
      <w:r>
        <w:rPr>
          <w:bCs/>
          <w:b/>
        </w:rPr>
        <w:t xml:space="preserve">Phone:</w:t>
      </w:r>
      <w:r>
        <w:t xml:space="preserve"> </w:t>
      </w:r>
      <w:r>
        <w:t xml:space="preserve">+81-6-4705-8831</w:t>
      </w:r>
    </w:p>
    <w:p>
      <w:pPr>
        <w:pStyle w:val="BodyText"/>
      </w:pPr>
      <w:r>
        <w:rPr>
          <w:bCs/>
          <w:b/>
        </w:rPr>
        <w:t xml:space="preserve">Tax ID:</w:t>
      </w:r>
      <w:r>
        <w:t xml:space="preserve"> </w:t>
      </w:r>
      <w:r>
        <w:t xml:space="preserve">9010009876543</w:t>
      </w:r>
    </w:p>
    <w:bookmarkEnd w:id="23"/>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Kanto Pacific Technologies Co., Ltd. (hereinafter referred to as the "Buyer") to Nihon Engineering Solutions Inc. (hereinafter referred to as the "Supplier") for the procurement of professional engineering services. The scope of this engagement involves the assignment of a qualified</w:t>
      </w:r>
      <w:r>
        <w:t xml:space="preserve"> </w:t>
      </w:r>
      <w:r>
        <w:t xml:space="preserve">Systems Engineer</w:t>
      </w:r>
      <w:r>
        <w:t xml:space="preserve"> </w:t>
      </w:r>
      <w:r>
        <w:t xml:space="preserve">to support the Buyer's infrastructure modernization program located in the</w:t>
      </w:r>
      <w:r>
        <w:t xml:space="preserve"> </w:t>
      </w:r>
      <w:r>
        <w:t xml:space="preserve">Japan Osaka</w:t>
      </w:r>
      <w:r>
        <w:t xml:space="preserve"> </w:t>
      </w:r>
      <w:r>
        <w:t xml:space="preserve">metropolitan area. The</w:t>
      </w:r>
      <w:r>
        <w:t xml:space="preserve"> </w:t>
      </w:r>
      <w:r>
        <w:t xml:space="preserve">Systems Engineer</w:t>
      </w:r>
      <w:r>
        <w:t xml:space="preserve"> </w:t>
      </w:r>
      <w:r>
        <w:t xml:space="preserve">shall be responsible for the design, implementation, testing, and ongoing maintenance of enterprise-level IT infrastructure systems, including but not limited to server architectures, network topologies, cloud migration frameworks, and cybersecurity protocols. All work shall be performed at the Buyer's primary facility in</w:t>
      </w:r>
      <w:r>
        <w:t xml:space="preserve"> </w:t>
      </w:r>
      <w:r>
        <w:t xml:space="preserve">Japan Osaka</w:t>
      </w:r>
      <w:r>
        <w:t xml:space="preserve"> </w:t>
      </w:r>
      <w:r>
        <w:t xml:space="preserve">or at such other locations within the</w:t>
      </w:r>
      <w:r>
        <w:t xml:space="preserve"> </w:t>
      </w:r>
      <w:r>
        <w:t xml:space="preserve">Japan Osaka</w:t>
      </w:r>
      <w:r>
        <w:t xml:space="preserve"> </w:t>
      </w:r>
      <w:r>
        <w:t xml:space="preserve">prefecture as mutually agreed upon in writing.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Systems Engineer — Full-time on-site engagement in Japan Osaka. Includes architecture design, system integration, and performance optimization for the Buyer's data center operations.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Systems Engineer — Cloud Infrastructure Migration Support. Dedicated support for migrating legacy on-premise systems to hybrid cloud environments within the Japan Osaka region.</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Systems Engineer — Cybersecurity Audit and Compliance. Conducting comprehensive security assessments, vulnerability scanning, and ISO 27001 compliance verification for all systems deployed in Japan Osaka.</w:t>
            </w:r>
          </w:p>
        </w:tc>
        <w:tc>
          <w:tcPr/>
          <w:p>
            <w:pPr>
              <w:pStyle w:val="Compact"/>
              <w:jc w:val="left"/>
            </w:pPr>
            <w:r>
              <w:t xml:space="preserve">1</w:t>
            </w:r>
          </w:p>
        </w:tc>
        <w:tc>
          <w:tcPr/>
          <w:p>
            <w:pPr>
              <w:pStyle w:val="Compact"/>
              <w:jc w:val="left"/>
            </w:pPr>
            <w:r>
              <w:t xml:space="preserve">Service (3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Systems Engineer — Training and Knowledge Transfer. On-site training sessions for Buyer's internal IT staff in Japan Osaka, covering system administration, troubleshooting, and best practices.</w:t>
            </w:r>
          </w:p>
        </w:tc>
        <w:tc>
          <w:tcPr/>
          <w:p>
            <w:pPr>
              <w:pStyle w:val="Compact"/>
              <w:jc w:val="left"/>
            </w:pPr>
            <w:r>
              <w:t xml:space="preserve">8</w:t>
            </w:r>
          </w:p>
        </w:tc>
        <w:tc>
          <w:tcPr/>
          <w:p>
            <w:pPr>
              <w:pStyle w:val="Compact"/>
              <w:jc w:val="left"/>
            </w:pPr>
            <w:r>
              <w:t xml:space="preserve">Session (4 hrs each)</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Systems Engineer — Emergency Response and After-Hours Support. 24/7 on-call availability for critical system failures at the Japan Osaka facility, with a guaranteed response time of 2 hours.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 (JPY)</w:t>
            </w:r>
          </w:p>
        </w:tc>
        <w:tc>
          <w:tcPr/>
          <w:p>
            <w:pPr>
              <w:pStyle w:val="Compact"/>
              <w:jc w:val="left"/>
            </w:pPr>
            <w:r>
              <w:t xml:space="preserve">36,100,000</w:t>
            </w:r>
          </w:p>
        </w:tc>
      </w:tr>
      <w:tr>
        <w:tc>
          <w:tcPr>
            <w:gridSpan w:val="5"/>
          </w:tcPr>
          <w:p>
            <w:pPr>
              <w:pStyle w:val="Compact"/>
              <w:jc w:val="right"/>
            </w:pPr>
            <w:r>
              <w:t xml:space="preserve">Consumption Tax (10%)</w:t>
            </w:r>
          </w:p>
        </w:tc>
        <w:tc>
          <w:tcPr/>
          <w:p>
            <w:pPr>
              <w:pStyle w:val="Compact"/>
              <w:jc w:val="left"/>
            </w:pPr>
            <w:r>
              <w:t xml:space="preserve">3,610,000</w:t>
            </w:r>
          </w:p>
        </w:tc>
      </w:tr>
      <w:tr>
        <w:tc>
          <w:tcPr>
            <w:gridSpan w:val="5"/>
          </w:tcPr>
          <w:p>
            <w:pPr>
              <w:pStyle w:val="Compact"/>
              <w:jc w:val="right"/>
            </w:pPr>
            <w:r>
              <w:t xml:space="preserve">Grand Total (JPY)</w:t>
            </w:r>
          </w:p>
        </w:tc>
        <w:tc>
          <w:tcPr/>
          <w:p>
            <w:pPr>
              <w:pStyle w:val="Compact"/>
              <w:jc w:val="left"/>
            </w:pPr>
            <w:r>
              <w:t xml:space="preserve">39,710,000</w:t>
            </w:r>
          </w:p>
        </w:tc>
      </w:tr>
    </w:tbl>
    <w:p>
      <w:pPr>
        <w:pStyle w:val="BodyText"/>
      </w:pPr>
      <w:r>
        <w:t xml:space="preserve">3. Scope of Work and Deliverables</w:t>
      </w:r>
    </w:p>
    <w:p>
      <w:pPr>
        <w:pStyle w:val="BodyText"/>
      </w:pPr>
      <w:r>
        <w:t xml:space="preserve">The</w:t>
      </w:r>
      <w:r>
        <w:t xml:space="preserve"> </w:t>
      </w:r>
      <w:r>
        <w:t xml:space="preserve">Systems Engineer</w:t>
      </w:r>
      <w:r>
        <w:t xml:space="preserve"> </w:t>
      </w:r>
      <w:r>
        <w:t xml:space="preserve">assigned under this</w:t>
      </w:r>
      <w:r>
        <w:t xml:space="preserve"> </w:t>
      </w:r>
      <w:r>
        <w:t xml:space="preserve">Purchase Order</w:t>
      </w:r>
      <w:r>
        <w:t xml:space="preserve"> </w:t>
      </w:r>
      <w:r>
        <w:t xml:space="preserve">shall deliver the following key outputs during the engagement period in</w:t>
      </w:r>
      <w:r>
        <w:t xml:space="preserve"> </w:t>
      </w:r>
      <w:r>
        <w:t xml:space="preserve">Japan Osaka</w:t>
      </w:r>
      <w:r>
        <w:t xml:space="preserve">:</w:t>
      </w:r>
    </w:p>
    <w:p>
      <w:pPr>
        <w:numPr>
          <w:ilvl w:val="0"/>
          <w:numId w:val="1001"/>
        </w:numPr>
        <w:pStyle w:val="Compact"/>
      </w:pPr>
      <w:r>
        <w:t xml:space="preserve">A comprehensive System Architecture Document detailing the design of all infrastructure components, to be delivered within the first 30 days of commencement.</w:t>
      </w:r>
    </w:p>
    <w:p>
      <w:pPr>
        <w:numPr>
          <w:ilvl w:val="0"/>
          <w:numId w:val="1001"/>
        </w:numPr>
        <w:pStyle w:val="Compact"/>
      </w:pPr>
      <w:r>
        <w:t xml:space="preserve">Full implementation and deployment of the upgraded server and network infrastructure at the Buyer's Japan Osaka headquarters, including all necessary hardware configuration and software installation.</w:t>
      </w:r>
    </w:p>
    <w:p>
      <w:pPr>
        <w:numPr>
          <w:ilvl w:val="0"/>
          <w:numId w:val="1001"/>
        </w:numPr>
        <w:pStyle w:val="Compact"/>
      </w:pPr>
      <w:r>
        <w:t xml:space="preserve">A Cloud Migration Plan and execution report documenting the transition of all legacy systems to the designated hybrid cloud platform, with zero data loss and minimal downtime.</w:t>
      </w:r>
    </w:p>
    <w:p>
      <w:pPr>
        <w:numPr>
          <w:ilvl w:val="0"/>
          <w:numId w:val="1001"/>
        </w:numPr>
        <w:pStyle w:val="Compact"/>
      </w:pPr>
      <w:r>
        <w:t xml:space="preserve">A Cybersecurity Compliance Report confirming adherence to Japanese Information Security Act requirements and international ISO 27001 standards, specific to all systems operating in the Japan Osaka facility.</w:t>
      </w:r>
    </w:p>
    <w:p>
      <w:pPr>
        <w:numPr>
          <w:ilvl w:val="0"/>
          <w:numId w:val="1001"/>
        </w:numPr>
        <w:pStyle w:val="Compact"/>
      </w:pPr>
      <w:r>
        <w:t xml:space="preserve">Monthly progress reports submitted to the Buyer's Project Management Office, detailing milestones achieved, risks identified, and corrective actions taken by the Systems Engineer.</w:t>
      </w:r>
    </w:p>
    <w:p>
      <w:pPr>
        <w:numPr>
          <w:ilvl w:val="0"/>
          <w:numId w:val="1001"/>
        </w:numPr>
        <w:pStyle w:val="Compact"/>
      </w:pPr>
      <w:r>
        <w:t xml:space="preserve">A Final Acceptance Report upon completion of all deliverables, certifying that all systems meet the performance benchmarks and specifications outlined in this Purchase Order.</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related to the Systems Engineer engagement in Japan Osaka shall be resolved through arbitration in Osaka, Japan, in accordance with the rules of the Japan Commercial Arbitration Association.</w:t>
      </w:r>
    </w:p>
    <w:p>
      <w:pPr>
        <w:numPr>
          <w:ilvl w:val="0"/>
          <w:numId w:val="1002"/>
        </w:numPr>
        <w:pStyle w:val="Compact"/>
      </w:pPr>
      <w:r>
        <w:rPr>
          <w:bCs/>
          <w:b/>
        </w:rPr>
        <w:t xml:space="preserve">Confidentiality:</w:t>
      </w:r>
      <w:r>
        <w:t xml:space="preserve"> </w:t>
      </w:r>
      <w:r>
        <w:t xml:space="preserve">The Supplier and the assigned Systems Engineer shall maintain strict confidentiality regarding all proprietary information, trade secrets, and technical data of the Buyer. This obligation shall survive the termination of this Purchase Order for a period of five (5) years.</w:t>
      </w:r>
    </w:p>
    <w:p>
      <w:pPr>
        <w:numPr>
          <w:ilvl w:val="0"/>
          <w:numId w:val="1002"/>
        </w:numPr>
        <w:pStyle w:val="Compact"/>
      </w:pPr>
      <w:r>
        <w:rPr>
          <w:bCs/>
          <w:b/>
        </w:rPr>
        <w:t xml:space="preserve">Intellectual Property:</w:t>
      </w:r>
      <w:r>
        <w:t xml:space="preserve"> </w:t>
      </w:r>
      <w:r>
        <w:t xml:space="preserve">All work products, designs, documentation, and code developed by the Systems Engineer specifically for the Buyer under this Purchase Order in Japan Osaka shall be the sole property of the Buyer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Supplier, the Buyer may terminate immediately upon written notice. Upon termination, the Supplier shall deliver all work-in-progress materials to the Buyer.</w:t>
      </w:r>
    </w:p>
    <w:p>
      <w:pPr>
        <w:numPr>
          <w:ilvl w:val="0"/>
          <w:numId w:val="1002"/>
        </w:numPr>
        <w:pStyle w:val="Compact"/>
      </w:pPr>
      <w:r>
        <w:rPr>
          <w:bCs/>
          <w:b/>
        </w:rPr>
        <w:t xml:space="preserve">Insurance:</w:t>
      </w:r>
      <w:r>
        <w:t xml:space="preserve"> </w:t>
      </w:r>
      <w:r>
        <w:t xml:space="preserve">The Supplier shall maintain comprehensive professional liability insurance with a minimum coverage of JPY 100,000,000 for the duration of the Systems Engineer engagement in Japan Osaka.</w:t>
      </w:r>
    </w:p>
    <w:p>
      <w:pPr>
        <w:numPr>
          <w:ilvl w:val="0"/>
          <w:numId w:val="1002"/>
        </w:numPr>
        <w:pStyle w:val="Compact"/>
      </w:pPr>
      <w:r>
        <w:rPr>
          <w:bCs/>
          <w:b/>
        </w:rPr>
        <w:t xml:space="preserve">Compliance:</w:t>
      </w:r>
      <w:r>
        <w:t xml:space="preserve"> </w:t>
      </w:r>
      <w:r>
        <w:t xml:space="preserve">The Supplier warrants that the Systems Engineer shall comply with all applicable Japanese labor laws, immigration regulations, and workplace safety standards while performing duties in Japan Osaka.</w:t>
      </w:r>
    </w:p>
    <w:p>
      <w:pPr>
        <w:numPr>
          <w:ilvl w:val="0"/>
          <w:numId w:val="1002"/>
        </w:numPr>
        <w:pStyle w:val="Compact"/>
      </w:pPr>
      <w:r>
        <w:rPr>
          <w:bCs/>
          <w:b/>
        </w:rPr>
        <w:t xml:space="preserve">Force Majeure:</w:t>
      </w:r>
      <w:r>
        <w:t xml:space="preserve"> </w:t>
      </w:r>
      <w:r>
        <w:t xml:space="preserve">Neither party shall be liable for delays or failures in performance resulting from natural disasters, including but not limited to earthquakes, typhoons, or volcanic activity, which are common risks in the Japan Osaka region.</w:t>
      </w:r>
    </w:p>
    <w:p>
      <w:pPr>
        <w:pStyle w:val="FirstParagraph"/>
      </w:pPr>
      <w:r>
        <w:t xml:space="preserve">5. Payment Schedule</w:t>
      </w:r>
    </w:p>
    <w:p>
      <w:pPr>
        <w:numPr>
          <w:ilvl w:val="0"/>
          <w:numId w:val="1003"/>
        </w:numPr>
        <w:pStyle w:val="Compact"/>
      </w:pPr>
      <w:r>
        <w:t xml:space="preserve">30% of the total Purchase Order value upon execution and commencement of the Systems Engineer engagement in Japan Osaka.</w:t>
      </w:r>
    </w:p>
    <w:p>
      <w:pPr>
        <w:numPr>
          <w:ilvl w:val="0"/>
          <w:numId w:val="1003"/>
        </w:numPr>
        <w:pStyle w:val="Compact"/>
      </w:pPr>
      <w:r>
        <w:t xml:space="preserve">40% upon successful completion and acceptance of the infrastructure implementation and cloud migration milestones.</w:t>
      </w:r>
    </w:p>
    <w:p>
      <w:pPr>
        <w:numPr>
          <w:ilvl w:val="0"/>
          <w:numId w:val="1003"/>
        </w:numPr>
        <w:pStyle w:val="Compact"/>
      </w:pPr>
      <w:r>
        <w:t xml:space="preserve">30% upon final acceptance of all deliverables and submission of the Final Acceptance Report.</w:t>
      </w:r>
    </w:p>
    <w:p>
      <w:pPr>
        <w:pStyle w:val="FirstParagraph"/>
      </w:pPr>
      <w:r>
        <w:rPr>
          <w:bCs/>
          <w:b/>
        </w:rPr>
        <w:t xml:space="preserve">For and on behalf of the Buyer:</w:t>
      </w:r>
    </w:p>
    <w:p>
      <w:pPr>
        <w:pStyle w:val="BodyText"/>
      </w:pPr>
      <w:r>
        <w:t xml:space="preserve">Kanto Pacific Technologies Co., Ltd.</w:t>
      </w:r>
    </w:p>
    <w:p>
      <w:pPr>
        <w:pStyle w:val="BodyText"/>
      </w:pPr>
      <w:r>
        <w:t xml:space="preserve">Name: Tanaka Hiroshi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Nihon Engineering Solutions Inc.</w:t>
      </w:r>
    </w:p>
    <w:p>
      <w:pPr>
        <w:pStyle w:val="BodyText"/>
      </w:pPr>
      <w:r>
        <w:t xml:space="preserve">Name: Sato Kenji</w:t>
      </w:r>
      <w:r>
        <w:br/>
      </w:r>
      <w:r>
        <w:t xml:space="preserve">Title: Director of Contracts</w:t>
      </w:r>
      <w:r>
        <w:br/>
      </w:r>
      <w:r>
        <w:t xml:space="preserve">Signature: _________________________</w:t>
      </w:r>
      <w:r>
        <w:br/>
      </w:r>
      <w:r>
        <w:t xml:space="preserve">Date: _________________________</w:t>
      </w:r>
    </w:p>
    <w:p>
      <w:pPr>
        <w:pStyle w:val="BodyText"/>
      </w:pPr>
      <w:r>
        <w:t xml:space="preserve">This Purchase Order (PO-JPO-2025-04872) constitutes a binding agreement between the parties for the procurement of Systems Engineer services in Japan Osaka. All terms herein are subject to the Master Service Agreement dated January 5, 2025, between the parties. This document is valid for acceptance within thirty (30) days of the issue date. © 2025 Kanto Pacific Technologies Co., Ltd.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Japan Osaka</dc:title>
  <dc:creator/>
  <dc:language>en</dc:language>
  <cp:keywords/>
  <dcterms:created xsi:type="dcterms:W3CDTF">2026-10-10T01:49:14Z</dcterms:created>
  <dcterms:modified xsi:type="dcterms:W3CDTF">2026-10-10T01:49:14Z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