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Professional Services Procurement Document</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r>
              <w:t xml:space="preserve"> </w:t>
            </w:r>
            <w:r>
              <w:t xml:space="preserve">PO-QD-2025-04872</w:t>
            </w:r>
          </w:p>
        </w:tc>
        <w:tc>
          <w:tcPr/>
          <w:p>
            <w:pPr>
              <w:pStyle w:val="Compact"/>
              <w:jc w:val="right"/>
            </w:pPr>
            <w:r>
              <w:rPr>
                <w:bCs/>
                <w:b/>
              </w:rPr>
              <w:t xml:space="preserve">Date of Issue:</w:t>
            </w:r>
            <w:r>
              <w:t xml:space="preserve"> </w:t>
            </w:r>
            <w:r>
              <w:t xml:space="preserve">15 June 2025</w:t>
            </w:r>
          </w:p>
        </w:tc>
      </w:tr>
      <w:tr>
        <w:tc>
          <w:tcPr/>
          <w:p>
            <w:pPr>
              <w:pStyle w:val="Compact"/>
              <w:jc w:val="left"/>
            </w:pPr>
            <w:r>
              <w:rPr>
                <w:bCs/>
                <w:b/>
              </w:rPr>
              <w:t xml:space="preserve">Valid Until:</w:t>
            </w:r>
            <w:r>
              <w:t xml:space="preserve"> </w:t>
            </w:r>
            <w:r>
              <w:t xml:space="preserve">15 September 2025</w:t>
            </w:r>
          </w:p>
        </w:tc>
        <w:tc>
          <w:tcPr/>
          <w:p>
            <w:pPr>
              <w:pStyle w:val="Compact"/>
              <w:jc w:val="right"/>
            </w:pPr>
            <w:r>
              <w:rPr>
                <w:bCs/>
                <w:b/>
              </w:rPr>
              <w:t xml:space="preserve">Project Reference:</w:t>
            </w:r>
            <w:r>
              <w:t xml:space="preserve"> </w:t>
            </w:r>
            <w:r>
              <w:t xml:space="preserve">QD-INFRA-2025-SE-003</w:t>
            </w:r>
          </w:p>
        </w:tc>
      </w:tr>
      <w:tr>
        <w:tc>
          <w:tcPr/>
          <w:p>
            <w:pPr>
              <w:pStyle w:val="Compact"/>
              <w:jc w:val="left"/>
            </w:pPr>
            <w:r>
              <w:rPr>
                <w:bCs/>
                <w:b/>
              </w:rPr>
              <w:t xml:space="preserve">Location of Work:</w:t>
            </w:r>
            <w:r>
              <w:t xml:space="preserve"> </w:t>
            </w:r>
            <w:r>
              <w:t xml:space="preserve">Doha, Qatar</w:t>
            </w:r>
          </w:p>
        </w:tc>
        <w:tc>
          <w:tcPr/>
          <w:p>
            <w:pPr>
              <w:pStyle w:val="Compact"/>
              <w:jc w:val="right"/>
            </w:pPr>
            <w:r>
              <w:rPr>
                <w:bCs/>
                <w:b/>
              </w:rPr>
              <w:t xml:space="preserve">Currency:</w:t>
            </w:r>
            <w:r>
              <w:t xml:space="preserve"> </w:t>
            </w:r>
            <w:r>
              <w:t xml:space="preserve">QAR (Qatari Riyal)</w:t>
            </w:r>
          </w:p>
        </w:tc>
      </w:tr>
    </w:tbl>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Al Rayyan Infrastructure Solutions WLL</w:t>
            </w:r>
          </w:p>
        </w:tc>
      </w:tr>
      <w:tr>
        <w:tc>
          <w:tcPr/>
          <w:p>
            <w:pPr>
              <w:pStyle w:val="Compact"/>
              <w:jc w:val="left"/>
            </w:pPr>
            <w:r>
              <w:rPr>
                <w:bCs/>
                <w:b/>
              </w:rPr>
              <w:t xml:space="preserve">Address:</w:t>
            </w:r>
            <w:r>
              <w:t xml:space="preserve"> </w:t>
            </w:r>
            <w:r>
              <w:t xml:space="preserve">Level 12, Business Bay Tower, Al Rayyan, Doha, Qatar</w:t>
            </w:r>
          </w:p>
        </w:tc>
      </w:tr>
      <w:tr>
        <w:tc>
          <w:tcPr/>
          <w:p>
            <w:pPr>
              <w:pStyle w:val="Compact"/>
              <w:jc w:val="left"/>
            </w:pPr>
            <w:r>
              <w:rPr>
                <w:bCs/>
                <w:b/>
              </w:rPr>
              <w:t xml:space="preserve">Commercial Registration No.:</w:t>
            </w:r>
            <w:r>
              <w:t xml:space="preserve"> </w:t>
            </w:r>
            <w:r>
              <w:t xml:space="preserve">CR-4829173</w:t>
            </w:r>
          </w:p>
        </w:tc>
      </w:tr>
      <w:tr>
        <w:tc>
          <w:tcPr/>
          <w:p>
            <w:pPr>
              <w:pStyle w:val="Compact"/>
              <w:jc w:val="left"/>
            </w:pPr>
            <w:r>
              <w:rPr>
                <w:bCs/>
                <w:b/>
              </w:rPr>
              <w:t xml:space="preserve">Contact Person:</w:t>
            </w:r>
            <w:r>
              <w:t xml:space="preserve"> </w:t>
            </w:r>
            <w:r>
              <w:t xml:space="preserve">Mr. Khalid Al-Mansoori, Head of Procurement</w:t>
            </w:r>
          </w:p>
        </w:tc>
      </w:tr>
      <w:tr>
        <w:tc>
          <w:tcPr/>
          <w:p>
            <w:pPr>
              <w:pStyle w:val="Compact"/>
              <w:jc w:val="left"/>
            </w:pPr>
            <w:r>
              <w:rPr>
                <w:bCs/>
                <w:b/>
              </w:rPr>
              <w:t xml:space="preserve">Email:</w:t>
            </w:r>
            <w:r>
              <w:t xml:space="preserve"> </w:t>
            </w:r>
            <w:r>
              <w:t xml:space="preserve">procurement@alrayyaninfra.qa</w:t>
            </w:r>
          </w:p>
        </w:tc>
      </w:tr>
      <w:tr>
        <w:tc>
          <w:tcPr/>
          <w:p>
            <w:pPr>
              <w:pStyle w:val="Compact"/>
              <w:jc w:val="left"/>
            </w:pPr>
            <w:r>
              <w:rPr>
                <w:bCs/>
                <w:b/>
              </w:rPr>
              <w:t xml:space="preserve">Telephone:</w:t>
            </w:r>
            <w:r>
              <w:t xml:space="preserve"> </w:t>
            </w:r>
            <w:r>
              <w:t xml:space="preserve">+974 4455 6677</w:t>
            </w:r>
          </w:p>
        </w:tc>
      </w:tr>
    </w:tbl>
    <w:bookmarkEnd w:id="21"/>
    <w:bookmarkStart w:id="22" w:name="supplier-vendor-information"/>
    <w:p>
      <w:pPr>
        <w:pStyle w:val="Heading2"/>
      </w:pPr>
      <w:r>
        <w:t xml:space="preserve">2. SUPPLIER / VENDOR INFORMATION</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GulfTech Professional Services LLC</w:t>
            </w:r>
          </w:p>
        </w:tc>
      </w:tr>
      <w:tr>
        <w:tc>
          <w:tcPr/>
          <w:p>
            <w:pPr>
              <w:pStyle w:val="Compact"/>
              <w:jc w:val="left"/>
            </w:pPr>
            <w:r>
              <w:rPr>
                <w:bCs/>
                <w:b/>
              </w:rPr>
              <w:t xml:space="preserve">Address:</w:t>
            </w:r>
            <w:r>
              <w:t xml:space="preserve"> </w:t>
            </w:r>
            <w:r>
              <w:t xml:space="preserve">Office 45, Msheireb Downtown, Doha, Qatar</w:t>
            </w:r>
          </w:p>
        </w:tc>
      </w:tr>
      <w:tr>
        <w:tc>
          <w:tcPr/>
          <w:p>
            <w:pPr>
              <w:pStyle w:val="Compact"/>
              <w:jc w:val="left"/>
            </w:pPr>
            <w:r>
              <w:rPr>
                <w:bCs/>
                <w:b/>
              </w:rPr>
              <w:t xml:space="preserve">Commercial Registration No.:</w:t>
            </w:r>
            <w:r>
              <w:t xml:space="preserve"> </w:t>
            </w:r>
            <w:r>
              <w:t xml:space="preserve">CR-3918264</w:t>
            </w:r>
          </w:p>
        </w:tc>
      </w:tr>
      <w:tr>
        <w:tc>
          <w:tcPr/>
          <w:p>
            <w:pPr>
              <w:pStyle w:val="Compact"/>
              <w:jc w:val="left"/>
            </w:pPr>
            <w:r>
              <w:rPr>
                <w:bCs/>
                <w:b/>
              </w:rPr>
              <w:t xml:space="preserve">Contact Person:</w:t>
            </w:r>
            <w:r>
              <w:t xml:space="preserve"> </w:t>
            </w:r>
            <w:r>
              <w:t xml:space="preserve">Ms. Sarah Al-Thani, Account Director</w:t>
            </w:r>
          </w:p>
        </w:tc>
      </w:tr>
      <w:tr>
        <w:tc>
          <w:tcPr/>
          <w:p>
            <w:pPr>
              <w:pStyle w:val="Compact"/>
              <w:jc w:val="left"/>
            </w:pPr>
            <w:r>
              <w:rPr>
                <w:bCs/>
                <w:b/>
              </w:rPr>
              <w:t xml:space="preserve">Email:</w:t>
            </w:r>
            <w:r>
              <w:t xml:space="preserve"> </w:t>
            </w:r>
            <w:r>
              <w:t xml:space="preserve">accounts@gulftechservices.qa</w:t>
            </w:r>
          </w:p>
        </w:tc>
      </w:tr>
      <w:tr>
        <w:tc>
          <w:tcPr/>
          <w:p>
            <w:pPr>
              <w:pStyle w:val="Compact"/>
              <w:jc w:val="left"/>
            </w:pPr>
            <w:r>
              <w:rPr>
                <w:bCs/>
                <w:b/>
              </w:rPr>
              <w:t xml:space="preserve">Telephone:</w:t>
            </w:r>
            <w:r>
              <w:t xml:space="preserve"> </w:t>
            </w:r>
            <w:r>
              <w:t xml:space="preserve">+974 4412 3388</w:t>
            </w:r>
          </w:p>
        </w:tc>
      </w:tr>
    </w:tbl>
    <w:bookmarkEnd w:id="22"/>
    <w:bookmarkStart w:id="23" w:name="scope-of-work-and-line-items"/>
    <w:p>
      <w:pPr>
        <w:pStyle w:val="Heading2"/>
      </w:pPr>
      <w:r>
        <w:t xml:space="preserve">3. SCOPE OF WORK AND LINE ITEMS</w:t>
      </w:r>
    </w:p>
    <w:p>
      <w:pPr>
        <w:pStyle w:val="FirstParagraph"/>
      </w:pPr>
      <w:r>
        <w:t xml:space="preserve">This Purchase Order is issued by Al Rayyan Infrastructure Solutions WLL to GulfTech Professional Services LLC for the engagement of a qualified</w:t>
      </w:r>
      <w:r>
        <w:t xml:space="preserve"> </w:t>
      </w:r>
      <w:r>
        <w:rPr>
          <w:bCs/>
          <w:b/>
        </w:rPr>
        <w:t xml:space="preserve">Systems Engineer</w:t>
      </w:r>
      <w:r>
        <w:t xml:space="preserve"> </w:t>
      </w:r>
      <w:r>
        <w:t xml:space="preserve">to provide comprehensive infrastructure design, implementation, and maintenance services at the buyer's primary data center and operational facilities located in</w:t>
      </w:r>
      <w:r>
        <w:t xml:space="preserve"> </w:t>
      </w:r>
      <w:r>
        <w:rPr>
          <w:bCs/>
          <w:b/>
        </w:rPr>
        <w:t xml:space="preserve">Qatar Doha</w:t>
      </w:r>
      <w:r>
        <w:t xml:space="preserve">. The Systems Engineer shall be responsible for the end-to-end management of hardware, software, network architecture, and cloud integration systems supporting the buyer's enterprise operations across all Qatar Doha sites.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center"/>
            </w:pPr>
            <w:r>
              <w:t xml:space="preserve">Qty</w:t>
            </w:r>
          </w:p>
        </w:tc>
        <w:tc>
          <w:tcPr/>
          <w:p>
            <w:pPr>
              <w:pStyle w:val="Compact"/>
              <w:jc w:val="right"/>
            </w:pPr>
            <w:r>
              <w:t xml:space="preserve">Unit Price (QAR)</w:t>
            </w:r>
          </w:p>
        </w:tc>
        <w:tc>
          <w:tcPr/>
          <w:p>
            <w:pPr>
              <w:pStyle w:val="Compact"/>
              <w:jc w:val="right"/>
            </w:pPr>
            <w:r>
              <w:t xml:space="preserve">Total (QAR)</w:t>
            </w:r>
          </w:p>
        </w:tc>
      </w:tr>
      <w:tr>
        <w:tc>
          <w:tcPr/>
          <w:p>
            <w:pPr>
              <w:pStyle w:val="Compact"/>
              <w:jc w:val="left"/>
            </w:pPr>
            <w:r>
              <w:t xml:space="preserve">001</w:t>
            </w:r>
          </w:p>
        </w:tc>
        <w:tc>
          <w:tcPr/>
          <w:p>
            <w:pPr>
              <w:pStyle w:val="Compact"/>
              <w:jc w:val="left"/>
            </w:pPr>
            <w:r>
              <w:t xml:space="preserve">Senior Systems Engineer – Full-time engagement for 12 months. Scope includes design, deployment, and ongoing management of enterprise server infrastructure, virtualization platforms (VMware, Hyper-V), and storage area networks at the Qatar Doha headquarters facility.</w:t>
            </w:r>
          </w:p>
        </w:tc>
        <w:tc>
          <w:tcPr/>
          <w:p>
            <w:pPr>
              <w:pStyle w:val="Compact"/>
              <w:jc w:val="center"/>
            </w:pPr>
            <w:r>
              <w:t xml:space="preserve">1</w:t>
            </w:r>
          </w:p>
        </w:tc>
        <w:tc>
          <w:tcPr/>
          <w:p>
            <w:pPr>
              <w:pStyle w:val="Compact"/>
              <w:jc w:val="right"/>
            </w:pPr>
            <w:r>
              <w:t xml:space="preserve">185,000.00</w:t>
            </w:r>
          </w:p>
        </w:tc>
        <w:tc>
          <w:tcPr/>
          <w:p>
            <w:pPr>
              <w:pStyle w:val="Compact"/>
              <w:jc w:val="right"/>
            </w:pPr>
            <w:r>
              <w:t xml:space="preserve">185,000.00</w:t>
            </w:r>
          </w:p>
        </w:tc>
      </w:tr>
      <w:tr>
        <w:tc>
          <w:tcPr/>
          <w:p>
            <w:pPr>
              <w:pStyle w:val="Compact"/>
              <w:jc w:val="left"/>
            </w:pPr>
            <w:r>
              <w:t xml:space="preserve">002</w:t>
            </w:r>
          </w:p>
        </w:tc>
        <w:tc>
          <w:tcPr/>
          <w:p>
            <w:pPr>
              <w:pStyle w:val="Compact"/>
              <w:jc w:val="left"/>
            </w:pPr>
            <w:r>
              <w:t xml:space="preserve">Systems Engineer – Network Architecture and Security. Design and implementation of secure network topology, firewalls, intrusion detection systems, and VLAN segmentation for all Qatar Doha operational sites including the Al Rayyan branch and Msheireb satellite office.</w:t>
            </w:r>
          </w:p>
        </w:tc>
        <w:tc>
          <w:tcPr/>
          <w:p>
            <w:pPr>
              <w:pStyle w:val="Compact"/>
              <w:jc w:val="center"/>
            </w:pPr>
            <w:r>
              <w:t xml:space="preserve">1</w:t>
            </w:r>
          </w:p>
        </w:tc>
        <w:tc>
          <w:tcPr/>
          <w:p>
            <w:pPr>
              <w:pStyle w:val="Compact"/>
              <w:jc w:val="right"/>
            </w:pPr>
            <w:r>
              <w:t xml:space="preserve">142,500.00</w:t>
            </w:r>
          </w:p>
        </w:tc>
        <w:tc>
          <w:tcPr/>
          <w:p>
            <w:pPr>
              <w:pStyle w:val="Compact"/>
              <w:jc w:val="right"/>
            </w:pPr>
            <w:r>
              <w:t xml:space="preserve">142,500.00</w:t>
            </w:r>
          </w:p>
        </w:tc>
      </w:tr>
      <w:tr>
        <w:tc>
          <w:tcPr/>
          <w:p>
            <w:pPr>
              <w:pStyle w:val="Compact"/>
              <w:jc w:val="left"/>
            </w:pPr>
            <w:r>
              <w:t xml:space="preserve">003</w:t>
            </w:r>
          </w:p>
        </w:tc>
        <w:tc>
          <w:tcPr/>
          <w:p>
            <w:pPr>
              <w:pStyle w:val="Compact"/>
              <w:jc w:val="left"/>
            </w:pPr>
            <w:r>
              <w:t xml:space="preserve">Systems Engineer – Cloud Migration and Hybrid Integration. Migration of legacy on-premise workloads to hybrid cloud environments (AWS Middle East – Bahrain region and Microsoft Azure). Includes data center-to-cloud connectivity, disaster recovery planning, and failover testing for Qatar Doha operations.</w:t>
            </w:r>
          </w:p>
        </w:tc>
        <w:tc>
          <w:tcPr/>
          <w:p>
            <w:pPr>
              <w:pStyle w:val="Compact"/>
              <w:jc w:val="center"/>
            </w:pPr>
            <w:r>
              <w:t xml:space="preserve">1</w:t>
            </w:r>
          </w:p>
        </w:tc>
        <w:tc>
          <w:tcPr/>
          <w:p>
            <w:pPr>
              <w:pStyle w:val="Compact"/>
              <w:jc w:val="right"/>
            </w:pPr>
            <w:r>
              <w:t xml:space="preserve">98,000.00</w:t>
            </w:r>
          </w:p>
        </w:tc>
        <w:tc>
          <w:tcPr/>
          <w:p>
            <w:pPr>
              <w:pStyle w:val="Compact"/>
              <w:jc w:val="right"/>
            </w:pPr>
            <w:r>
              <w:t xml:space="preserve">98,000.00</w:t>
            </w:r>
          </w:p>
        </w:tc>
      </w:tr>
      <w:tr>
        <w:tc>
          <w:tcPr/>
          <w:p>
            <w:pPr>
              <w:pStyle w:val="Compact"/>
              <w:jc w:val="left"/>
            </w:pPr>
            <w:r>
              <w:t xml:space="preserve">004</w:t>
            </w:r>
          </w:p>
        </w:tc>
        <w:tc>
          <w:tcPr/>
          <w:p>
            <w:pPr>
              <w:pStyle w:val="Compact"/>
              <w:jc w:val="left"/>
            </w:pPr>
            <w:r>
              <w:t xml:space="preserve">Systems Engineer – Ongoing Support and Maintenance (Monthly). 24/7 monitoring, patch management, performance tuning, incident response, and quarterly infrastructure audits for all systems deployed in Qatar Doha. Includes on-site presence at the Doha headquarters for a minimum of 4 days per week.</w:t>
            </w:r>
          </w:p>
        </w:tc>
        <w:tc>
          <w:tcPr/>
          <w:p>
            <w:pPr>
              <w:pStyle w:val="Compact"/>
              <w:jc w:val="center"/>
            </w:pPr>
            <w:r>
              <w:t xml:space="preserve">12</w:t>
            </w:r>
          </w:p>
        </w:tc>
        <w:tc>
          <w:tcPr/>
          <w:p>
            <w:pPr>
              <w:pStyle w:val="Compact"/>
              <w:jc w:val="right"/>
            </w:pPr>
            <w:r>
              <w:t xml:space="preserve">22,000.00</w:t>
            </w:r>
          </w:p>
        </w:tc>
        <w:tc>
          <w:tcPr/>
          <w:p>
            <w:pPr>
              <w:pStyle w:val="Compact"/>
              <w:jc w:val="right"/>
            </w:pPr>
            <w:r>
              <w:t xml:space="preserve">264,000.00</w:t>
            </w:r>
          </w:p>
        </w:tc>
      </w:tr>
      <w:tr>
        <w:tc>
          <w:tcPr/>
          <w:p>
            <w:pPr>
              <w:pStyle w:val="Compact"/>
              <w:jc w:val="left"/>
            </w:pPr>
            <w:r>
              <w:t xml:space="preserve">005</w:t>
            </w:r>
          </w:p>
        </w:tc>
        <w:tc>
          <w:tcPr/>
          <w:p>
            <w:pPr>
              <w:pStyle w:val="Compact"/>
              <w:jc w:val="left"/>
            </w:pPr>
            <w:r>
              <w:t xml:space="preserve">Systems Engineer – Training and Knowledge Transfer. Comprehensive training sessions for the buyer's internal IT staff in Qatar Doha covering system administration, troubleshooting procedures, and documentation standards. Minimum of 8 training days over the contract period.</w:t>
            </w:r>
          </w:p>
        </w:tc>
        <w:tc>
          <w:tcPr/>
          <w:p>
            <w:pPr>
              <w:pStyle w:val="Compact"/>
              <w:jc w:val="center"/>
            </w:pPr>
            <w:r>
              <w:t xml:space="preserve">8</w:t>
            </w:r>
          </w:p>
        </w:tc>
        <w:tc>
          <w:tcPr/>
          <w:p>
            <w:pPr>
              <w:pStyle w:val="Compact"/>
              <w:jc w:val="right"/>
            </w:pPr>
            <w:r>
              <w:t xml:space="preserve">3,500.00</w:t>
            </w:r>
          </w:p>
        </w:tc>
        <w:tc>
          <w:tcPr/>
          <w:p>
            <w:pPr>
              <w:pStyle w:val="Compact"/>
              <w:jc w:val="right"/>
            </w:pPr>
            <w:r>
              <w:t xml:space="preserve">28,000.00</w:t>
            </w:r>
          </w:p>
        </w:tc>
      </w:tr>
      <w:tr>
        <w:tc>
          <w:tcPr>
            <w:gridSpan w:val="4"/>
            <w:vMerge w:val="restart"/>
          </w:tcPr>
          <w:p>
            <w:pPr>
              <w:pStyle w:val="Compact"/>
            </w:pPr>
          </w:p>
        </w:tc>
        <w:tc>
          <w:tcPr/>
          <w:p>
            <w:pPr>
              <w:pStyle w:val="Compact"/>
              <w:jc w:val="right"/>
            </w:pPr>
            <w:r>
              <w:t xml:space="preserve">Subtotal: 717,500.00</w:t>
            </w:r>
          </w:p>
        </w:tc>
      </w:tr>
      <w:tr>
        <w:tc>
          <w:tcPr>
            <w:gridSpan w:val="4"/>
            <w:vMerge w:val="continue"/>
          </w:tcPr>
          <w:p>
            <w:pPr/>
          </w:p>
        </w:tc>
        <w:tc>
          <w:tcPr/>
          <w:p>
            <w:pPr>
              <w:pStyle w:val="Compact"/>
              <w:jc w:val="right"/>
            </w:pPr>
            <w:r>
              <w:t xml:space="preserve">VAT (0% – Exempt): 0.00</w:t>
            </w:r>
          </w:p>
        </w:tc>
      </w:tr>
      <w:tr>
        <w:tc>
          <w:tcPr>
            <w:gridSpan w:val="4"/>
          </w:tcPr>
          <w:p>
            <w:pPr>
              <w:pStyle w:val="Compact"/>
            </w:pPr>
          </w:p>
        </w:tc>
        <w:tc>
          <w:tcPr/>
          <w:p>
            <w:pPr>
              <w:pStyle w:val="Compact"/>
              <w:jc w:val="right"/>
            </w:pPr>
            <w:r>
              <w:t xml:space="preserve">TOTAL: QAR 717,500.00</w:t>
            </w:r>
          </w:p>
        </w:tc>
      </w:tr>
    </w:tbl>
    <w:bookmarkEnd w:id="23"/>
    <w:bookmarkStart w:id="24" w:name="terms-and-conditions"/>
    <w:p>
      <w:pPr>
        <w:pStyle w:val="Heading2"/>
      </w:pPr>
      <w:r>
        <w:t xml:space="preserve">4. TERMS AND CONDITIONS</w:t>
      </w:r>
    </w:p>
    <w:p>
      <w:pPr>
        <w:numPr>
          <w:ilvl w:val="0"/>
          <w:numId w:val="1001"/>
        </w:numPr>
        <w:pStyle w:val="Compact"/>
      </w:pPr>
      <w:r>
        <w:t xml:space="preserve">This Purchase Order constitutes a binding agreement between the Buyer and the Supplier upon full execution by both parties. All services described herein shall be performed by a qualified and certified Systems Engineer or team of Systems Engineers as specified in the line items above.</w:t>
      </w:r>
    </w:p>
    <w:p>
      <w:pPr>
        <w:numPr>
          <w:ilvl w:val="0"/>
          <w:numId w:val="1001"/>
        </w:numPr>
        <w:pStyle w:val="Compact"/>
      </w:pPr>
      <w:r>
        <w:t xml:space="preserve">The Systems Engineer shall report directly to the Buyer's Chief Information Officer and shall maintain a minimum on-site presence at the Qatar Doha headquarters facility (Business Bay Tower, Al Rayyan) for no fewer than 40 hours per week during the contract term.</w:t>
      </w:r>
    </w:p>
    <w:p>
      <w:pPr>
        <w:numPr>
          <w:ilvl w:val="0"/>
          <w:numId w:val="1001"/>
        </w:numPr>
        <w:pStyle w:val="Compact"/>
      </w:pPr>
      <w:r>
        <w:t xml:space="preserve">All work, deliverables, documentation, and intellectual property generated under this Purchase Order shall be the sole property of the Buyer. The Systems Engineer shall comply with all data protection regulations applicable in Qatar, including the Personal Data Protection Law (Law No. 13 of 2016).</w:t>
      </w:r>
    </w:p>
    <w:p>
      <w:pPr>
        <w:numPr>
          <w:ilvl w:val="0"/>
          <w:numId w:val="1001"/>
        </w:numPr>
        <w:pStyle w:val="Compact"/>
      </w:pPr>
      <w:r>
        <w:t xml:space="preserve">The Supplier shall ensure that the assigned Systems Engineer holds a minimum of 8 years of relevant experience in enterprise infrastructure and possesses current certifications including but not limited to: Cisco CCNP/CCIE, VMware VCP, Microsoft Azure Solutions Architect, and AWS Solutions Architect Professional.</w:t>
      </w:r>
    </w:p>
    <w:p>
      <w:pPr>
        <w:numPr>
          <w:ilvl w:val="0"/>
          <w:numId w:val="1001"/>
        </w:numPr>
        <w:pStyle w:val="Compact"/>
      </w:pPr>
      <w:r>
        <w:t xml:space="preserve">Payment shall be made in QAR via bank transfer to the Supplier's designated account. Invoicing shall be submitted monthly by the 5th business day. Payment terms are Net 30 days from receipt of a valid invoice. Late payments shall accrue interest at 1.5% per month.</w:t>
      </w:r>
    </w:p>
    <w:p>
      <w:pPr>
        <w:numPr>
          <w:ilvl w:val="0"/>
          <w:numId w:val="1001"/>
        </w:numPr>
        <w:pStyle w:val="Compact"/>
      </w:pPr>
      <w:r>
        <w:t xml:space="preserve">The Supplier shall provide a comprehensive project plan within 10 business days of this Purchase Order's effective date, detailing milestones, deliverables, and resource allocation for all Qatar Doha sites.</w:t>
      </w:r>
    </w:p>
    <w:p>
      <w:pPr>
        <w:numPr>
          <w:ilvl w:val="0"/>
          <w:numId w:val="1001"/>
        </w:numPr>
        <w:pStyle w:val="Compact"/>
      </w:pPr>
      <w:r>
        <w:t xml:space="preserve">The Buyer reserves the right to terminate this Purchase Order with 30 days' written notice in the event of material breach, failure to meet service level agreements, or if the Systems Engineer fails to perform duties to the standard required for Qatar Doha operations.</w:t>
      </w:r>
    </w:p>
    <w:p>
      <w:pPr>
        <w:numPr>
          <w:ilvl w:val="0"/>
          <w:numId w:val="1001"/>
        </w:numPr>
        <w:pStyle w:val="Compact"/>
      </w:pPr>
      <w:r>
        <w:t xml:space="preserve">All services shall comply with Qatar's labor laws, Qatari Standards and Metrology Organization (QSO) regulations, and any applicable municipal or governmental requirements for IT infrastructure in Doha.</w:t>
      </w:r>
    </w:p>
    <w:p>
      <w:pPr>
        <w:numPr>
          <w:ilvl w:val="0"/>
          <w:numId w:val="1001"/>
        </w:numPr>
        <w:pStyle w:val="Compact"/>
      </w:pPr>
      <w:r>
        <w:t xml:space="preserve">The Supplier shall maintain adequate professional indemnity and liability insurance coverage of no less than QAR 5,000,000 for the duration of this Purchase Order.</w:t>
      </w:r>
    </w:p>
    <w:p>
      <w:pPr>
        <w:numPr>
          <w:ilvl w:val="0"/>
          <w:numId w:val="1001"/>
        </w:numPr>
        <w:pStyle w:val="Compact"/>
      </w:pPr>
      <w:r>
        <w:t xml:space="preserve">Disputes arising from this Purchase Order shall be resolved through arbitration in Doha, Qatar, in accordance with the rules of the Qatar International Arbitration Centre (QIAC).</w:t>
      </w:r>
    </w:p>
    <w:bookmarkEnd w:id="24"/>
    <w:bookmarkStart w:id="25" w:name="commencement-and-duration"/>
    <w:p>
      <w:pPr>
        <w:pStyle w:val="Heading2"/>
      </w:pPr>
      <w:r>
        <w:t xml:space="preserve">5. COMMENCEMENT AND DURATION</w:t>
      </w:r>
    </w:p>
    <w:p>
      <w:pPr>
        <w:pStyle w:val="FirstParagraph"/>
      </w:pPr>
      <w:r>
        <w:t xml:space="preserve">The engagement of the Systems Engineer under this Purchase Order shall commence on</w:t>
      </w:r>
      <w:r>
        <w:t xml:space="preserve"> </w:t>
      </w:r>
      <w:r>
        <w:rPr>
          <w:bCs/>
          <w:b/>
        </w:rPr>
        <w:t xml:space="preserve">1 July 2025</w:t>
      </w:r>
      <w:r>
        <w:t xml:space="preserve"> </w:t>
      </w:r>
      <w:r>
        <w:t xml:space="preserve">and shall continue for a period of</w:t>
      </w:r>
      <w:r>
        <w:t xml:space="preserve"> </w:t>
      </w:r>
      <w:r>
        <w:rPr>
          <w:bCs/>
          <w:b/>
        </w:rPr>
        <w:t xml:space="preserve">twelve (12) months</w:t>
      </w:r>
      <w:r>
        <w:t xml:space="preserve">, concluding on</w:t>
      </w:r>
      <w:r>
        <w:t xml:space="preserve"> </w:t>
      </w:r>
      <w:r>
        <w:rPr>
          <w:bCs/>
          <w:b/>
        </w:rPr>
        <w:t xml:space="preserve">30 June 2026</w:t>
      </w:r>
      <w:r>
        <w:t xml:space="preserve">, unless extended by mutual written agreement. All on-site work shall be conducted at the Buyer's facilities in Qatar Doha, with the primary site being the Business Bay Tower in Al Rayyan and secondary sites at the Msheireb Downtown satellite office and the Al Wakrah industrial facility.</w:t>
      </w:r>
    </w:p>
    <w:bookmarkEnd w:id="25"/>
    <w:bookmarkStart w:id="26" w:name="authorized-signatories"/>
    <w:p>
      <w:pPr>
        <w:pStyle w:val="Heading2"/>
      </w:pPr>
      <w:r>
        <w:t xml:space="preserve">6. AUTHORIZED SIGNATORIES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the Buyer:</w:t>
            </w:r>
            <w:r>
              <w:br/>
            </w:r>
            <w:r>
              <w:t xml:space="preserve">Al Rayyan Infrastructure Solutions WLL</w:t>
            </w:r>
          </w:p>
          <w:p>
            <w:pPr>
              <w:jc w:val="left"/>
            </w:pPr>
            <w:r>
              <w:t xml:space="preserve">Signature: ___________________________</w:t>
            </w:r>
          </w:p>
          <w:p>
            <w:pPr>
              <w:jc w:val="left"/>
            </w:pPr>
            <w:r>
              <w:t xml:space="preserve">Name: Mr. Khalid Al-Mansoori</w:t>
            </w:r>
          </w:p>
          <w:p>
            <w:pPr>
              <w:jc w:val="left"/>
            </w:pPr>
            <w:r>
              <w:t xml:space="preserve">Title: Head of Procurement</w:t>
            </w:r>
          </w:p>
          <w:p>
            <w:pPr>
              <w:jc w:val="left"/>
            </w:pPr>
            <w:r>
              <w:t xml:space="preserve">Date: ___________________________</w:t>
            </w:r>
          </w:p>
        </w:tc>
        <w:tc>
          <w:tcPr/>
          <w:p>
            <w:pPr>
              <w:jc w:val="left"/>
            </w:pPr>
            <w:r>
              <w:rPr>
                <w:bCs/>
                <w:b/>
              </w:rPr>
              <w:t xml:space="preserve">For and on behalf of the Supplier:</w:t>
            </w:r>
            <w:r>
              <w:br/>
            </w:r>
            <w:r>
              <w:t xml:space="preserve">GulfTech Professional Services LLC</w:t>
            </w:r>
          </w:p>
          <w:p>
            <w:pPr>
              <w:jc w:val="left"/>
            </w:pPr>
            <w:r>
              <w:t xml:space="preserve">Signature: ___________________________</w:t>
            </w:r>
          </w:p>
          <w:p>
            <w:pPr>
              <w:jc w:val="left"/>
            </w:pPr>
            <w:r>
              <w:t xml:space="preserve">Name: Ms. Sarah Al-Thani</w:t>
            </w:r>
          </w:p>
          <w:p>
            <w:pPr>
              <w:jc w:val="left"/>
            </w:pPr>
            <w:r>
              <w:t xml:space="preserve">Title: Account Director</w:t>
            </w:r>
          </w:p>
          <w:p>
            <w:pPr>
              <w:jc w:val="left"/>
            </w:pPr>
            <w:r>
              <w:t xml:space="preserve">Date: ___________________________</w:t>
            </w:r>
          </w:p>
        </w:tc>
      </w:tr>
    </w:tbl>
    <w:p>
      <w:pPr>
        <w:pStyle w:val="BodyText"/>
      </w:pPr>
      <w:r>
        <w:t xml:space="preserve">This Purchase Order (PO-QD-2025-04872) is issued for the procurement of Systems Engineer professional services in Qatar Doha. This document is valid only when signed and stamped by both parties. Unauthorized reproduction or distribution is prohibited. All communications regarding this Purchase Order shall be directed to the procurement department at Al Rayyan Infrastructure Solutions WLL, Doha, Qatar.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Qatar Doha</dc:title>
  <dc:creator/>
  <dc:language>en</dc:language>
  <cp:keywords/>
  <dcterms:created xsi:type="dcterms:W3CDTF">2026-10-10T02:25:09Z</dcterms:created>
  <dcterms:modified xsi:type="dcterms:W3CDTF">2026-10-10T02:25:09Z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