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rPr>
          <w:bCs/>
          <w:b/>
        </w:rPr>
        <w:t xml:space="preserve">Al-Nakheel Tailor &amp; Bespoke Garments Co.</w:t>
      </w:r>
    </w:p>
    <w:p>
      <w:pPr>
        <w:pStyle w:val="BodyText"/>
      </w:pPr>
      <w:r>
        <w:t xml:space="preserve">Shop 14, Al-Salimiyah Commercial District, Kuwait, Kuwait City, State of Kuwait</w:t>
      </w:r>
    </w:p>
    <w:p>
      <w:pPr>
        <w:pStyle w:val="BodyText"/>
      </w:pPr>
      <w:r>
        <w:t xml:space="preserve">Tel: +965-2244-7890 | Email: orders@alnakheel-tailor.kw | CR: 184729-K</w:t>
      </w:r>
    </w:p>
    <w:p>
      <w:pPr>
        <w:pStyle w:val="BodyText"/>
      </w:pPr>
      <w:r>
        <w:t xml:space="preserve">PO No. AT-2025-0472</w:t>
      </w:r>
    </w:p>
    <w:bookmarkEnd w:id="20"/>
    <w:p>
      <w:pPr>
        <w:pStyle w:val="BodyText"/>
      </w:pP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Currency:</w:t>
      </w:r>
      <w:r>
        <w:t xml:space="preserve"> </w:t>
      </w:r>
      <w:r>
        <w:t xml:space="preserve">Kuwaiti Dinar (KWD)</w:t>
      </w:r>
    </w:p>
    <w:p>
      <w:pPr>
        <w:pStyle w:val="BodyText"/>
      </w:pPr>
      <w:r>
        <w:rPr>
          <w:bCs/>
          <w:b/>
        </w:rPr>
        <w:t xml:space="preserve">Delivery Location:</w:t>
      </w:r>
      <w:r>
        <w:br/>
      </w:r>
      <w:r>
        <w:t xml:space="preserve">Al-Nakheel Tailor Workshop</w:t>
      </w:r>
      <w:r>
        <w:br/>
      </w:r>
      <w:r>
        <w:t xml:space="preserve">Kuwait, Kuwait City</w:t>
      </w:r>
      <w:r>
        <w:br/>
      </w:r>
      <w:r>
        <w:t xml:space="preserve">State of Kuwait</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Al-Nakheel Tailor &amp; Bespoke Garments Co.</w:t>
            </w:r>
          </w:p>
        </w:tc>
      </w:tr>
      <w:tr>
        <w:tc>
          <w:tcPr/>
          <w:p>
            <w:pPr>
              <w:pStyle w:val="Compact"/>
              <w:jc w:val="left"/>
            </w:pPr>
            <w:r>
              <w:rPr>
                <w:bCs/>
                <w:b/>
              </w:rPr>
              <w:t xml:space="preserve">Address:</w:t>
            </w:r>
          </w:p>
        </w:tc>
        <w:tc>
          <w:tcPr/>
          <w:p>
            <w:pPr>
              <w:pStyle w:val="Compact"/>
              <w:jc w:val="left"/>
            </w:pPr>
            <w:r>
              <w:t xml:space="preserve">Shop 14, Al-Salimiyah Commercial District, Kuwait, Kuwait City, State of Kuwait</w:t>
            </w:r>
          </w:p>
        </w:tc>
      </w:tr>
      <w:tr>
        <w:tc>
          <w:tcPr/>
          <w:p>
            <w:pPr>
              <w:pStyle w:val="Compact"/>
              <w:jc w:val="left"/>
            </w:pPr>
            <w:r>
              <w:rPr>
                <w:bCs/>
                <w:b/>
              </w:rPr>
              <w:t xml:space="preserve">Contact Person:</w:t>
            </w:r>
          </w:p>
        </w:tc>
        <w:tc>
          <w:tcPr/>
          <w:p>
            <w:pPr>
              <w:pStyle w:val="Compact"/>
              <w:jc w:val="left"/>
            </w:pPr>
            <w:r>
              <w:t xml:space="preserve">Mr. Faisal Al-Mutairi, Head of Procurement</w:t>
            </w:r>
          </w:p>
        </w:tc>
      </w:tr>
      <w:tr>
        <w:tc>
          <w:tcPr/>
          <w:p>
            <w:pPr>
              <w:pStyle w:val="Compact"/>
              <w:jc w:val="left"/>
            </w:pPr>
            <w:r>
              <w:rPr>
                <w:bCs/>
                <w:b/>
              </w:rPr>
              <w:t xml:space="preserve">Phone / Email:</w:t>
            </w:r>
          </w:p>
        </w:tc>
        <w:tc>
          <w:tcPr/>
          <w:p>
            <w:pPr>
              <w:pStyle w:val="Compact"/>
              <w:jc w:val="left"/>
            </w:pPr>
            <w:r>
              <w:t xml:space="preserve">+965-2244-7890 / procurement@alnakheel-tailor.kw</w:t>
            </w:r>
          </w:p>
        </w:tc>
      </w:tr>
      <w:tr>
        <w:tc>
          <w:tcPr/>
          <w:p>
            <w:pPr>
              <w:pStyle w:val="Compact"/>
              <w:jc w:val="left"/>
            </w:pPr>
            <w:r>
              <w:rPr>
                <w:bCs/>
                <w:b/>
              </w:rPr>
              <w:t xml:space="preserve">Tax / CR Number:</w:t>
            </w:r>
          </w:p>
        </w:tc>
        <w:tc>
          <w:tcPr/>
          <w:p>
            <w:pPr>
              <w:pStyle w:val="Compact"/>
              <w:jc w:val="left"/>
            </w:pPr>
            <w:r>
              <w:t xml:space="preserve">CR: 184729-K | VAT: 108452736</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Gulf Fabrics &amp; Textile Supply LLC</w:t>
            </w:r>
          </w:p>
        </w:tc>
      </w:tr>
      <w:tr>
        <w:tc>
          <w:tcPr/>
          <w:p>
            <w:pPr>
              <w:pStyle w:val="Compact"/>
              <w:jc w:val="left"/>
            </w:pPr>
            <w:r>
              <w:rPr>
                <w:bCs/>
                <w:b/>
              </w:rPr>
              <w:t xml:space="preserve">Address:</w:t>
            </w:r>
          </w:p>
        </w:tc>
        <w:tc>
          <w:tcPr/>
          <w:p>
            <w:pPr>
              <w:pStyle w:val="Compact"/>
              <w:jc w:val="left"/>
            </w:pPr>
            <w:r>
              <w:t xml:space="preserve">Warehouse 7, Shuwaikh Industrial Area, Kuwait, Kuwait City, State of Kuwait</w:t>
            </w:r>
          </w:p>
        </w:tc>
      </w:tr>
      <w:tr>
        <w:tc>
          <w:tcPr/>
          <w:p>
            <w:pPr>
              <w:pStyle w:val="Compact"/>
              <w:jc w:val="left"/>
            </w:pPr>
            <w:r>
              <w:rPr>
                <w:bCs/>
                <w:b/>
              </w:rPr>
              <w:t xml:space="preserve">Contact Person:</w:t>
            </w:r>
          </w:p>
        </w:tc>
        <w:tc>
          <w:tcPr/>
          <w:p>
            <w:pPr>
              <w:pStyle w:val="Compact"/>
              <w:jc w:val="left"/>
            </w:pPr>
            <w:r>
              <w:t xml:space="preserve">Ms. Layla Al-Harbi, Sales Manager</w:t>
            </w:r>
          </w:p>
        </w:tc>
      </w:tr>
      <w:tr>
        <w:tc>
          <w:tcPr/>
          <w:p>
            <w:pPr>
              <w:pStyle w:val="Compact"/>
              <w:jc w:val="left"/>
            </w:pPr>
            <w:r>
              <w:rPr>
                <w:bCs/>
                <w:b/>
              </w:rPr>
              <w:t xml:space="preserve">Phone / Email:</w:t>
            </w:r>
          </w:p>
        </w:tc>
        <w:tc>
          <w:tcPr/>
          <w:p>
            <w:pPr>
              <w:pStyle w:val="Compact"/>
              <w:jc w:val="left"/>
            </w:pPr>
            <w:r>
              <w:t xml:space="preserve">+965-2478-3321 / sales@gulffabrics.kw</w:t>
            </w:r>
          </w:p>
        </w:tc>
      </w:tr>
      <w:tr>
        <w:tc>
          <w:tcPr/>
          <w:p>
            <w:pPr>
              <w:pStyle w:val="Compact"/>
              <w:jc w:val="left"/>
            </w:pPr>
            <w:r>
              <w:rPr>
                <w:bCs/>
                <w:b/>
              </w:rPr>
              <w:t xml:space="preserve">CR Number:</w:t>
            </w:r>
          </w:p>
        </w:tc>
        <w:tc>
          <w:tcPr/>
          <w:p>
            <w:pPr>
              <w:pStyle w:val="Compact"/>
              <w:jc w:val="left"/>
            </w:pPr>
            <w:r>
              <w:t xml:space="preserve">CR: 229104-K</w:t>
            </w:r>
          </w:p>
        </w:tc>
      </w:tr>
    </w:tbl>
    <w:p>
      <w:pPr>
        <w:pStyle w:val="BodyText"/>
      </w:pPr>
      <w:r>
        <w:t xml:space="preserve">3.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Premium Egyptian Cotton Fabric (White) – for bespoke thobes and formal shirts, 120-inch width, 180 GSM</w:t>
            </w:r>
          </w:p>
        </w:tc>
        <w:tc>
          <w:tcPr/>
          <w:p>
            <w:pPr>
              <w:pStyle w:val="Compact"/>
              <w:jc w:val="left"/>
            </w:pPr>
            <w:r>
              <w:t xml:space="preserve">250</w:t>
            </w:r>
          </w:p>
        </w:tc>
        <w:tc>
          <w:tcPr/>
          <w:p>
            <w:pPr>
              <w:pStyle w:val="Compact"/>
              <w:jc w:val="left"/>
            </w:pPr>
            <w:r>
              <w:t xml:space="preserve">Metres</w:t>
            </w:r>
          </w:p>
        </w:tc>
        <w:tc>
          <w:tcPr/>
          <w:p>
            <w:pPr>
              <w:pStyle w:val="Compact"/>
              <w:jc w:val="left"/>
            </w:pPr>
            <w:r>
              <w:t xml:space="preserve">3.50</w:t>
            </w:r>
          </w:p>
        </w:tc>
        <w:tc>
          <w:tcPr/>
          <w:p>
            <w:pPr>
              <w:pStyle w:val="Compact"/>
              <w:jc w:val="left"/>
            </w:pPr>
            <w:r>
              <w:t xml:space="preserve">875.00</w:t>
            </w:r>
          </w:p>
        </w:tc>
      </w:tr>
      <w:tr>
        <w:tc>
          <w:tcPr/>
          <w:p>
            <w:pPr>
              <w:pStyle w:val="Compact"/>
              <w:jc w:val="left"/>
            </w:pPr>
            <w:r>
              <w:t xml:space="preserve">02</w:t>
            </w:r>
          </w:p>
        </w:tc>
        <w:tc>
          <w:tcPr/>
          <w:p>
            <w:pPr>
              <w:pStyle w:val="Compact"/>
              <w:jc w:val="left"/>
            </w:pPr>
            <w:r>
              <w:t xml:space="preserve">Italian Wool Blend Suiting Fabric (Navy Blue) – for tailored suits and abayas, 150-inch width</w:t>
            </w:r>
          </w:p>
        </w:tc>
        <w:tc>
          <w:tcPr/>
          <w:p>
            <w:pPr>
              <w:pStyle w:val="Compact"/>
              <w:jc w:val="left"/>
            </w:pPr>
            <w:r>
              <w:t xml:space="preserve">120</w:t>
            </w:r>
          </w:p>
        </w:tc>
        <w:tc>
          <w:tcPr/>
          <w:p>
            <w:pPr>
              <w:pStyle w:val="Compact"/>
              <w:jc w:val="left"/>
            </w:pPr>
            <w:r>
              <w:t xml:space="preserve">Metres</w:t>
            </w:r>
          </w:p>
        </w:tc>
        <w:tc>
          <w:tcPr/>
          <w:p>
            <w:pPr>
              <w:pStyle w:val="Compact"/>
              <w:jc w:val="left"/>
            </w:pPr>
            <w:r>
              <w:t xml:space="preserve">8.75</w:t>
            </w:r>
          </w:p>
        </w:tc>
        <w:tc>
          <w:tcPr/>
          <w:p>
            <w:pPr>
              <w:pStyle w:val="Compact"/>
              <w:jc w:val="left"/>
            </w:pPr>
            <w:r>
              <w:t xml:space="preserve">1,050.00</w:t>
            </w:r>
          </w:p>
        </w:tc>
      </w:tr>
      <w:tr>
        <w:tc>
          <w:tcPr/>
          <w:p>
            <w:pPr>
              <w:pStyle w:val="Compact"/>
              <w:jc w:val="left"/>
            </w:pPr>
            <w:r>
              <w:t xml:space="preserve">03</w:t>
            </w:r>
          </w:p>
        </w:tc>
        <w:tc>
          <w:tcPr/>
          <w:p>
            <w:pPr>
              <w:pStyle w:val="Compact"/>
              <w:jc w:val="left"/>
            </w:pPr>
            <w:r>
              <w:t xml:space="preserve">High-Grade Silk Lining (Black) – for inner tailoring of formal garments, 60-inch width</w:t>
            </w:r>
          </w:p>
        </w:tc>
        <w:tc>
          <w:tcPr/>
          <w:p>
            <w:pPr>
              <w:pStyle w:val="Compact"/>
              <w:jc w:val="left"/>
            </w:pPr>
            <w:r>
              <w:t xml:space="preserve">80</w:t>
            </w:r>
          </w:p>
        </w:tc>
        <w:tc>
          <w:tcPr/>
          <w:p>
            <w:pPr>
              <w:pStyle w:val="Compact"/>
              <w:jc w:val="left"/>
            </w:pPr>
            <w:r>
              <w:t xml:space="preserve">Metres</w:t>
            </w:r>
          </w:p>
        </w:tc>
        <w:tc>
          <w:tcPr/>
          <w:p>
            <w:pPr>
              <w:pStyle w:val="Compact"/>
              <w:jc w:val="left"/>
            </w:pPr>
            <w:r>
              <w:t xml:space="preserve">4.20</w:t>
            </w:r>
          </w:p>
        </w:tc>
        <w:tc>
          <w:tcPr/>
          <w:p>
            <w:pPr>
              <w:pStyle w:val="Compact"/>
              <w:jc w:val="left"/>
            </w:pPr>
            <w:r>
              <w:t xml:space="preserve">336.00</w:t>
            </w:r>
          </w:p>
        </w:tc>
      </w:tr>
      <w:tr>
        <w:tc>
          <w:tcPr/>
          <w:p>
            <w:pPr>
              <w:pStyle w:val="Compact"/>
              <w:jc w:val="left"/>
            </w:pPr>
            <w:r>
              <w:t xml:space="preserve">04</w:t>
            </w:r>
          </w:p>
        </w:tc>
        <w:tc>
          <w:tcPr/>
          <w:p>
            <w:pPr>
              <w:pStyle w:val="Compact"/>
              <w:jc w:val="left"/>
            </w:pPr>
            <w:r>
              <w:t xml:space="preserve">Corozo Buttons (Ivory, 24mm) – for thobe and jacket closures, bulk pack</w:t>
            </w:r>
          </w:p>
        </w:tc>
        <w:tc>
          <w:tcPr/>
          <w:p>
            <w:pPr>
              <w:pStyle w:val="Compact"/>
              <w:jc w:val="left"/>
            </w:pPr>
            <w:r>
              <w:t xml:space="preserve">5,000</w:t>
            </w:r>
          </w:p>
        </w:tc>
        <w:tc>
          <w:tcPr/>
          <w:p>
            <w:pPr>
              <w:pStyle w:val="Compact"/>
              <w:jc w:val="left"/>
            </w:pPr>
            <w:r>
              <w:t xml:space="preserve">Pieces</w:t>
            </w:r>
          </w:p>
        </w:tc>
        <w:tc>
          <w:tcPr/>
          <w:p>
            <w:pPr>
              <w:pStyle w:val="Compact"/>
              <w:jc w:val="left"/>
            </w:pPr>
            <w:r>
              <w:t xml:space="preserve">0.02</w:t>
            </w:r>
          </w:p>
        </w:tc>
        <w:tc>
          <w:tcPr/>
          <w:p>
            <w:pPr>
              <w:pStyle w:val="Compact"/>
              <w:jc w:val="left"/>
            </w:pPr>
            <w:r>
              <w:t xml:space="preserve">100.00</w:t>
            </w:r>
          </w:p>
        </w:tc>
      </w:tr>
      <w:tr>
        <w:tc>
          <w:tcPr/>
          <w:p>
            <w:pPr>
              <w:pStyle w:val="Compact"/>
              <w:jc w:val="left"/>
            </w:pPr>
            <w:r>
              <w:t xml:space="preserve">05</w:t>
            </w:r>
          </w:p>
        </w:tc>
        <w:tc>
          <w:tcPr/>
          <w:p>
            <w:pPr>
              <w:pStyle w:val="Compact"/>
              <w:jc w:val="left"/>
            </w:pPr>
            <w:r>
              <w:t xml:space="preserve">Heavy-Duty Tailoring Thread (Assorted Colours, 500m spools) – for all sewing operations</w:t>
            </w:r>
          </w:p>
        </w:tc>
        <w:tc>
          <w:tcPr/>
          <w:p>
            <w:pPr>
              <w:pStyle w:val="Compact"/>
              <w:jc w:val="left"/>
            </w:pPr>
            <w:r>
              <w:t xml:space="preserve">200</w:t>
            </w:r>
          </w:p>
        </w:tc>
        <w:tc>
          <w:tcPr/>
          <w:p>
            <w:pPr>
              <w:pStyle w:val="Compact"/>
              <w:jc w:val="left"/>
            </w:pPr>
            <w:r>
              <w:t xml:space="preserve">Spools</w:t>
            </w:r>
          </w:p>
        </w:tc>
        <w:tc>
          <w:tcPr/>
          <w:p>
            <w:pPr>
              <w:pStyle w:val="Compact"/>
              <w:jc w:val="left"/>
            </w:pPr>
            <w:r>
              <w:t xml:space="preserve">0.85</w:t>
            </w:r>
          </w:p>
        </w:tc>
        <w:tc>
          <w:tcPr/>
          <w:p>
            <w:pPr>
              <w:pStyle w:val="Compact"/>
              <w:jc w:val="left"/>
            </w:pPr>
            <w:r>
              <w:t xml:space="preserve">170.00</w:t>
            </w:r>
          </w:p>
        </w:tc>
      </w:tr>
      <w:tr>
        <w:tc>
          <w:tcPr/>
          <w:p>
            <w:pPr>
              <w:pStyle w:val="Compact"/>
              <w:jc w:val="left"/>
            </w:pPr>
            <w:r>
              <w:t xml:space="preserve">06</w:t>
            </w:r>
          </w:p>
        </w:tc>
        <w:tc>
          <w:tcPr/>
          <w:p>
            <w:pPr>
              <w:pStyle w:val="Compact"/>
              <w:jc w:val="left"/>
            </w:pPr>
            <w:r>
              <w:t xml:space="preserve">Interfacing / Fusible Bonding Web (Medium Weight) – for collar and cuff structure</w:t>
            </w:r>
          </w:p>
        </w:tc>
        <w:tc>
          <w:tcPr/>
          <w:p>
            <w:pPr>
              <w:pStyle w:val="Compact"/>
              <w:jc w:val="left"/>
            </w:pPr>
            <w:r>
              <w:t xml:space="preserve">60</w:t>
            </w:r>
          </w:p>
        </w:tc>
        <w:tc>
          <w:tcPr/>
          <w:p>
            <w:pPr>
              <w:pStyle w:val="Compact"/>
              <w:jc w:val="left"/>
            </w:pPr>
            <w:r>
              <w:t xml:space="preserve">Metres</w:t>
            </w:r>
          </w:p>
        </w:tc>
        <w:tc>
          <w:tcPr/>
          <w:p>
            <w:pPr>
              <w:pStyle w:val="Compact"/>
              <w:jc w:val="left"/>
            </w:pPr>
            <w:r>
              <w:t xml:space="preserve">2.10</w:t>
            </w:r>
          </w:p>
        </w:tc>
        <w:tc>
          <w:tcPr/>
          <w:p>
            <w:pPr>
              <w:pStyle w:val="Compact"/>
              <w:jc w:val="left"/>
            </w:pPr>
            <w:r>
              <w:t xml:space="preserve">126.00</w:t>
            </w:r>
          </w:p>
        </w:tc>
      </w:tr>
      <w:tr>
        <w:tc>
          <w:tcPr/>
          <w:p>
            <w:pPr>
              <w:pStyle w:val="Compact"/>
              <w:jc w:val="left"/>
            </w:pPr>
            <w:r>
              <w:t xml:space="preserve">07</w:t>
            </w:r>
          </w:p>
        </w:tc>
        <w:tc>
          <w:tcPr/>
          <w:p>
            <w:pPr>
              <w:pStyle w:val="Compact"/>
              <w:jc w:val="left"/>
            </w:pPr>
            <w:r>
              <w:t xml:space="preserve">Embroidery Thread Set (Gold &amp; Silver, 12 shades) – for decorative tailoring on ceremonial garments</w:t>
            </w:r>
          </w:p>
        </w:tc>
        <w:tc>
          <w:tcPr/>
          <w:p>
            <w:pPr>
              <w:pStyle w:val="Compact"/>
              <w:jc w:val="left"/>
            </w:pPr>
            <w:r>
              <w:t xml:space="preserve">50</w:t>
            </w:r>
          </w:p>
        </w:tc>
        <w:tc>
          <w:tcPr/>
          <w:p>
            <w:pPr>
              <w:pStyle w:val="Compact"/>
              <w:jc w:val="left"/>
            </w:pPr>
            <w:r>
              <w:t xml:space="preserve">Sets</w:t>
            </w:r>
          </w:p>
        </w:tc>
        <w:tc>
          <w:tcPr/>
          <w:p>
            <w:pPr>
              <w:pStyle w:val="Compact"/>
              <w:jc w:val="left"/>
            </w:pPr>
            <w:r>
              <w:t xml:space="preserve">6.50</w:t>
            </w:r>
          </w:p>
        </w:tc>
        <w:tc>
          <w:tcPr/>
          <w:p>
            <w:pPr>
              <w:pStyle w:val="Compact"/>
              <w:jc w:val="left"/>
            </w:pPr>
            <w:r>
              <w:t xml:space="preserve">325.00</w:t>
            </w:r>
          </w:p>
        </w:tc>
      </w:tr>
      <w:tr>
        <w:tc>
          <w:tcPr/>
          <w:p>
            <w:pPr>
              <w:pStyle w:val="Compact"/>
              <w:jc w:val="left"/>
            </w:pPr>
            <w:r>
              <w:t xml:space="preserve">08</w:t>
            </w:r>
          </w:p>
        </w:tc>
        <w:tc>
          <w:tcPr/>
          <w:p>
            <w:pPr>
              <w:pStyle w:val="Compact"/>
              <w:jc w:val="left"/>
            </w:pPr>
            <w:r>
              <w:t xml:space="preserve">Industrial-Grade Sewing Machine Needles (Universal, Size 90/14) – for workshop tailoring machines</w:t>
            </w:r>
          </w:p>
        </w:tc>
        <w:tc>
          <w:tcPr/>
          <w:p>
            <w:pPr>
              <w:pStyle w:val="Compact"/>
              <w:jc w:val="left"/>
            </w:pPr>
            <w:r>
              <w:t xml:space="preserve">1,000</w:t>
            </w:r>
          </w:p>
        </w:tc>
        <w:tc>
          <w:tcPr/>
          <w:p>
            <w:pPr>
              <w:pStyle w:val="Compact"/>
              <w:jc w:val="left"/>
            </w:pPr>
            <w:r>
              <w:t xml:space="preserve">Pieces</w:t>
            </w:r>
          </w:p>
        </w:tc>
        <w:tc>
          <w:tcPr/>
          <w:p>
            <w:pPr>
              <w:pStyle w:val="Compact"/>
              <w:jc w:val="left"/>
            </w:pPr>
            <w:r>
              <w:t xml:space="preserve">0.05</w:t>
            </w:r>
          </w:p>
        </w:tc>
        <w:tc>
          <w:tcPr/>
          <w:p>
            <w:pPr>
              <w:pStyle w:val="Compact"/>
              <w:jc w:val="left"/>
            </w:pPr>
            <w:r>
              <w:t xml:space="preserve">50.00</w:t>
            </w:r>
          </w:p>
        </w:tc>
      </w:tr>
      <w:tr>
        <w:tc>
          <w:tcPr>
            <w:gridSpan w:val="5"/>
          </w:tcPr>
          <w:p>
            <w:pPr>
              <w:pStyle w:val="Compact"/>
              <w:jc w:val="right"/>
            </w:pPr>
            <w:r>
              <w:t xml:space="preserve">Subtotal:</w:t>
            </w:r>
          </w:p>
        </w:tc>
        <w:tc>
          <w:tcPr/>
          <w:p>
            <w:pPr>
              <w:pStyle w:val="Compact"/>
              <w:jc w:val="left"/>
            </w:pPr>
            <w:r>
              <w:t xml:space="preserve">3,032.00</w:t>
            </w:r>
          </w:p>
        </w:tc>
      </w:tr>
      <w:tr>
        <w:tc>
          <w:tcPr>
            <w:gridSpan w:val="5"/>
          </w:tcPr>
          <w:p>
            <w:pPr>
              <w:pStyle w:val="Compact"/>
              <w:jc w:val="right"/>
            </w:pPr>
            <w:r>
              <w:t xml:space="preserve">VAT (5%):</w:t>
            </w:r>
          </w:p>
        </w:tc>
        <w:tc>
          <w:tcPr/>
          <w:p>
            <w:pPr>
              <w:pStyle w:val="Compact"/>
              <w:jc w:val="left"/>
            </w:pPr>
            <w:r>
              <w:t xml:space="preserve">151.60</w:t>
            </w:r>
          </w:p>
        </w:tc>
      </w:tr>
      <w:tr>
        <w:tc>
          <w:tcPr>
            <w:gridSpan w:val="5"/>
          </w:tcPr>
          <w:p>
            <w:pPr>
              <w:pStyle w:val="Compact"/>
              <w:jc w:val="right"/>
            </w:pPr>
            <w:r>
              <w:rPr>
                <w:bCs/>
                <w:b/>
              </w:rPr>
              <w:t xml:space="preserve">Total Amount Due (KWD):</w:t>
            </w:r>
          </w:p>
        </w:tc>
        <w:tc>
          <w:tcPr/>
          <w:p>
            <w:pPr>
              <w:pStyle w:val="Compact"/>
              <w:jc w:val="left"/>
            </w:pPr>
            <w:r>
              <w:rPr>
                <w:bCs/>
                <w:b/>
              </w:rPr>
              <w:t xml:space="preserve">3,183.60</w:t>
            </w:r>
          </w:p>
        </w:tc>
      </w:tr>
    </w:tbl>
    <w:p>
      <w:pPr>
        <w:pStyle w:val="BodyText"/>
      </w:pPr>
      <w:r>
        <w:t xml:space="preserve">4. Delivery &amp; Logistics Terms</w:t>
      </w:r>
    </w:p>
    <w:p>
      <w:pPr>
        <w:pStyle w:val="BodyText"/>
      </w:pPr>
      <w:r>
        <w:t xml:space="preserve">The supplier shall deliver all items listed in this Purchase Order to the Al-Nakheel Tailor workshop located in Al-Salimiyah, Kuwait, Kuwait City, no later than</w:t>
      </w:r>
      <w:r>
        <w:t xml:space="preserve"> </w:t>
      </w:r>
      <w:r>
        <w:rPr>
          <w:bCs/>
          <w:b/>
        </w:rPr>
        <w:t xml:space="preserve">26 June 2025</w:t>
      </w:r>
      <w:r>
        <w:t xml:space="preserve">. Delivery must be completed between the hours of 08:00 and 16:00 Kuwait Standard Time (AST, UTC+3). All goods must be properly packaged, labelled with the Purchase Order number AT-2025-0472, and accompanied by a commercial invoice and packing list. The supplier is responsible for all transportation costs within Kuwait City and the State of Kuwait. In the event of partial delivery, the supplier must notify the buyer in writing at least 48 hours in advance.</w:t>
      </w:r>
    </w:p>
    <w:p>
      <w:pPr>
        <w:pStyle w:val="BodyText"/>
      </w:pPr>
      <w:r>
        <w:t xml:space="preserve">5. Payment Terms</w:t>
      </w:r>
    </w:p>
    <w:p>
      <w:pPr>
        <w:pStyle w:val="BodyText"/>
      </w:pPr>
      <w:r>
        <w:t xml:space="preserve">Payment for this Purchase Order shall be made via bank transfer to the supplier's designated account within</w:t>
      </w:r>
      <w:r>
        <w:t xml:space="preserve"> </w:t>
      </w:r>
      <w:r>
        <w:rPr>
          <w:bCs/>
          <w:b/>
        </w:rPr>
        <w:t xml:space="preserve">30 days</w:t>
      </w:r>
      <w:r>
        <w:t xml:space="preserve"> </w:t>
      </w:r>
      <w:r>
        <w:t xml:space="preserve">from the date of confirmed receipt and quality inspection of all goods at the Tailor's workshop in Kuwait City. The buyer reserves the right to withhold payment for any items that fail to meet the specified quality standards. Late payments shall incur a penalty of 1.5% per month as per Kuwaiti commercial law. All amounts are denominated in Kuwaiti Dinar (KWD).</w:t>
      </w:r>
    </w:p>
    <w:p>
      <w:pPr>
        <w:pStyle w:val="BodyText"/>
      </w:pPr>
      <w:r>
        <w:t xml:space="preserve">6. Quality &amp; Acceptance Criteria</w:t>
      </w:r>
    </w:p>
    <w:p>
      <w:pPr>
        <w:pStyle w:val="BodyText"/>
      </w:pPr>
      <w:r>
        <w:t xml:space="preserve">All fabrics, threads, buttons, and tailoring accessories supplied under this Purchase Order must conform to the specifications outlined in Section 3. The Al-Nakheel Tailor quality control team in Kuwait City will inspect all deliveries within 5 business days of receipt. Any defective or non-conforming materials must be replaced by the supplier at no additional cost within 10 business days. The supplier warrants that all textile products are free from manufacturing defects, colour bleeding, and contamination.</w:t>
      </w:r>
    </w:p>
    <w:p>
      <w:pPr>
        <w:pStyle w:val="BodyText"/>
      </w:pPr>
      <w:r>
        <w:t xml:space="preserve">7. General Terms &amp; Conditions</w:t>
      </w:r>
    </w:p>
    <w:p>
      <w:pPr>
        <w:numPr>
          <w:ilvl w:val="0"/>
          <w:numId w:val="1001"/>
        </w:numPr>
        <w:pStyle w:val="Compact"/>
      </w:pPr>
      <w:r>
        <w:t xml:space="preserve">This Purchase Order is governed by the laws of the State of Kuwait and the Kuwaiti Commercial Code.</w:t>
      </w:r>
    </w:p>
    <w:p>
      <w:pPr>
        <w:numPr>
          <w:ilvl w:val="0"/>
          <w:numId w:val="1001"/>
        </w:numPr>
        <w:pStyle w:val="Compact"/>
      </w:pPr>
      <w:r>
        <w:t xml:space="preserve">Any disputes arising from this Purchase Order shall be resolved through the competent courts in Kuwait City, State of Kuwait.</w:t>
      </w:r>
    </w:p>
    <w:p>
      <w:pPr>
        <w:numPr>
          <w:ilvl w:val="0"/>
          <w:numId w:val="1001"/>
        </w:numPr>
        <w:pStyle w:val="Compact"/>
      </w:pPr>
      <w:r>
        <w:t xml:space="preserve">The supplier shall not subcontract any portion of the delivery obligations without prior written consent from the buyer.</w:t>
      </w:r>
    </w:p>
    <w:p>
      <w:pPr>
        <w:numPr>
          <w:ilvl w:val="0"/>
          <w:numId w:val="1001"/>
        </w:numPr>
        <w:pStyle w:val="Compact"/>
      </w:pPr>
      <w:r>
        <w:t xml:space="preserve">This Purchase Order may be amended only by mutual written agreement signed by both parties.</w:t>
      </w:r>
    </w:p>
    <w:p>
      <w:pPr>
        <w:numPr>
          <w:ilvl w:val="0"/>
          <w:numId w:val="1001"/>
        </w:numPr>
        <w:pStyle w:val="Compact"/>
      </w:pPr>
      <w:r>
        <w:t xml:space="preserve">The supplier acknowledges that the materials procured under this order are intended exclusively for the bespoke tailoring operations of Al-Nakheel Tailor &amp; Bespoke Garments Co. in Kuwait City.</w:t>
      </w:r>
    </w:p>
    <w:p>
      <w:pPr>
        <w:numPr>
          <w:ilvl w:val="0"/>
          <w:numId w:val="1001"/>
        </w:numPr>
        <w:pStyle w:val="Compact"/>
      </w:pPr>
      <w:r>
        <w:t xml:space="preserve">Force majeure events, including but not limited to natural disasters, government sanctions, or civil unrest in Kuwait, shall excuse timely performance for the duration of such event.</w:t>
      </w:r>
    </w:p>
    <w:p>
      <w:pPr>
        <w:numPr>
          <w:ilvl w:val="0"/>
          <w:numId w:val="1001"/>
        </w:numPr>
        <w:pStyle w:val="Compact"/>
      </w:pPr>
      <w:r>
        <w:t xml:space="preserve">All intellectual property related to custom tailoring patterns and designs remains the sole property of the buyer.</w:t>
      </w:r>
    </w:p>
    <w:p>
      <w:pPr>
        <w:pStyle w:val="FirstParagraph"/>
      </w:pPr>
      <w:r>
        <w:rPr>
          <w:bCs/>
          <w:b/>
        </w:rPr>
        <w:t xml:space="preserve">Note:</w:t>
      </w:r>
      <w:r>
        <w:t xml:space="preserve"> </w:t>
      </w:r>
      <w:r>
        <w:t xml:space="preserve">This Purchase Order is issued by Al-Nakheel Tailor &amp; Bespoke Garments Co., a registered tailoring and bespoke garment establishment operating in Kuwait, Kuwait City. All transactions are subject to the regulations of the Kuwait Ministry of Commerce and Industry and the Kuwait Tax Authority. The Tailor's workshop maintains a minimum stock policy, and this order is scheduled to replenish inventory ahead of the peak seasonal demand period.</w:t>
      </w:r>
    </w:p>
    <w:p>
      <w:pPr>
        <w:pStyle w:val="BodyText"/>
      </w:pPr>
      <w:r>
        <w:t xml:space="preserve">8. Authorisation &amp; Signatures</w:t>
      </w:r>
    </w:p>
    <w:p>
      <w:pPr>
        <w:pStyle w:val="BodyText"/>
      </w:pPr>
      <w:r>
        <w:rPr>
          <w:bCs/>
          <w:b/>
        </w:rPr>
        <w:t xml:space="preserve">For and on behalf of the Buyer:</w:t>
      </w:r>
    </w:p>
    <w:p>
      <w:pPr>
        <w:pStyle w:val="BodyText"/>
      </w:pPr>
      <w:r>
        <w:t xml:space="preserve">Al-Nakheel Tailor &amp; Bespoke Garments Co.</w:t>
      </w:r>
    </w:p>
    <w:p>
      <w:pPr>
        <w:pStyle w:val="BodyText"/>
      </w:pPr>
      <w:r>
        <w:t xml:space="preserve">Mr. Faisal Al-Mutairi</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Gulf Fabrics &amp; Textile Supply LLC</w:t>
      </w:r>
    </w:p>
    <w:p>
      <w:pPr>
        <w:pStyle w:val="BodyText"/>
      </w:pPr>
      <w:r>
        <w:t xml:space="preserve">Ms. Layla Al-Harbi</w:t>
      </w:r>
      <w:r>
        <w:br/>
      </w:r>
      <w:r>
        <w:t xml:space="preserve">Sales Manager</w:t>
      </w:r>
      <w:r>
        <w:br/>
      </w:r>
      <w:r>
        <w:t xml:space="preserve">Date: _______________</w:t>
      </w:r>
    </w:p>
    <w:p>
      <w:pPr>
        <w:pStyle w:val="BodyText"/>
      </w:pPr>
      <w:r>
        <w:t xml:space="preserve">Purchase Order No. AT-2025-0472 | Al-Nakheel Tailor &amp; Bespoke Garments Co. | Kuwait, Kuwait City, State of Kuwait</w:t>
      </w:r>
    </w:p>
    <w:p>
      <w:pPr>
        <w:pStyle w:val="BodyText"/>
      </w:pPr>
      <w:r>
        <w:t xml:space="preserve">This document is valid only when signed and stamped by both parties. Unauthorised reproduction is prohibited.</w:t>
      </w:r>
    </w:p>
    <w:p>
      <w:pPr>
        <w:pStyle w:val="BodyText"/>
      </w:pPr>
      <w:r>
        <w:t xml:space="preserve">Page 1 of 1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Kuwait Kuwait City</dc:title>
  <dc:creator/>
  <dc:language>en</dc:language>
  <cp:keywords/>
  <dcterms:created xsi:type="dcterms:W3CDTF">2026-10-10T02:49:18Z</dcterms:created>
  <dcterms:modified xsi:type="dcterms:W3CDTF">2026-10-10T02:49:18Z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