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Teacher Primary Educational Supplies &amp; Services Procurement</w:t>
      </w:r>
    </w:p>
    <w:p>
      <w:pPr>
        <w:pStyle w:val="BodyText"/>
      </w:pPr>
      <w:r>
        <w:t xml:space="preserve">Lima, Peru — Ministry of Education Regional Office</w:t>
      </w:r>
    </w:p>
    <w:bookmarkEnd w:id="20"/>
    <w:p>
      <w:pPr>
        <w:pStyle w:val="BodyText"/>
      </w:pPr>
      <w:r>
        <w:rPr>
          <w:bCs/>
          <w:b/>
        </w:rPr>
        <w:t xml:space="preserve">Purchase Order No.:</w:t>
      </w:r>
      <w:r>
        <w:t xml:space="preserve"> </w:t>
      </w:r>
      <w:r>
        <w:t xml:space="preserve">PO-LIM-2025-04872</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Region:</w:t>
      </w:r>
      <w:r>
        <w:t xml:space="preserve"> </w:t>
      </w:r>
      <w:r>
        <w:t xml:space="preserve">Lima, Peru</w:t>
      </w:r>
      <w:r>
        <w:br/>
      </w:r>
      <w:r>
        <w:rPr>
          <w:bCs/>
          <w:b/>
        </w:rPr>
        <w:t xml:space="preserve">Department:</w:t>
      </w:r>
      <w:r>
        <w:t xml:space="preserve"> </w:t>
      </w:r>
      <w:r>
        <w:t xml:space="preserve">Teacher Primary Development</w:t>
      </w:r>
      <w:r>
        <w:br/>
      </w:r>
      <w:r>
        <w:rPr>
          <w:bCs/>
          <w:b/>
        </w:rPr>
        <w:t xml:space="preserve">Reference:</w:t>
      </w:r>
      <w:r>
        <w:t xml:space="preserve"> </w:t>
      </w:r>
      <w:r>
        <w:t xml:space="preserve">MINEDU-LIM-TP-2025</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Ministry of Education of Peru — Lima Regional Directorate</w:t>
            </w:r>
          </w:p>
        </w:tc>
        <w:tc>
          <w:tcPr/>
          <w:p>
            <w:pPr>
              <w:pStyle w:val="Compact"/>
              <w:jc w:val="left"/>
            </w:pPr>
            <w:r>
              <w:rPr>
                <w:bCs/>
                <w:b/>
              </w:rPr>
              <w:t xml:space="preserve">RUC:</w:t>
            </w:r>
            <w:r>
              <w:t xml:space="preserve"> </w:t>
            </w:r>
            <w:r>
              <w:t xml:space="preserve">20501234567</w:t>
            </w:r>
          </w:p>
        </w:tc>
      </w:tr>
      <w:tr>
        <w:tc>
          <w:tcPr/>
          <w:p>
            <w:pPr>
              <w:pStyle w:val="Compact"/>
              <w:jc w:val="left"/>
            </w:pPr>
            <w:r>
              <w:rPr>
                <w:bCs/>
                <w:b/>
              </w:rPr>
              <w:t xml:space="preserve">Address:</w:t>
            </w:r>
            <w:r>
              <w:t xml:space="preserve"> </w:t>
            </w:r>
            <w:r>
              <w:t xml:space="preserve">Av. Javier Prado Este 1200, San Isidro, Lima, Peru</w:t>
            </w:r>
          </w:p>
        </w:tc>
        <w:tc>
          <w:tcPr/>
          <w:p>
            <w:pPr>
              <w:pStyle w:val="Compact"/>
              <w:jc w:val="left"/>
            </w:pPr>
            <w:r>
              <w:rPr>
                <w:bCs/>
                <w:b/>
              </w:rPr>
              <w:t xml:space="preserve">Contact:</w:t>
            </w:r>
            <w:r>
              <w:t xml:space="preserve"> </w:t>
            </w:r>
            <w:r>
              <w:t xml:space="preserve">Lic. María Elena Quispe Torres</w:t>
            </w:r>
          </w:p>
        </w:tc>
      </w:tr>
      <w:tr>
        <w:tc>
          <w:tcPr/>
          <w:p>
            <w:pPr>
              <w:pStyle w:val="Compact"/>
              <w:jc w:val="left"/>
            </w:pPr>
            <w:r>
              <w:rPr>
                <w:bCs/>
                <w:b/>
              </w:rPr>
              <w:t xml:space="preserve">Phone:</w:t>
            </w:r>
            <w:r>
              <w:t xml:space="preserve"> </w:t>
            </w:r>
            <w:r>
              <w:t xml:space="preserve">+51 1 445-6789</w:t>
            </w:r>
          </w:p>
        </w:tc>
        <w:tc>
          <w:tcPr/>
          <w:p>
            <w:pPr>
              <w:pStyle w:val="Compact"/>
              <w:jc w:val="left"/>
            </w:pPr>
            <w:r>
              <w:rPr>
                <w:bCs/>
                <w:b/>
              </w:rPr>
              <w:t xml:space="preserve">Email:</w:t>
            </w:r>
            <w:r>
              <w:t xml:space="preserve"> </w:t>
            </w:r>
            <w:r>
              <w:t xml:space="preserve">compras.lima@minedu.gob.pe</w:t>
            </w:r>
          </w:p>
        </w:tc>
      </w:tr>
    </w:tbl>
    <w:p>
      <w:pPr>
        <w:pStyle w:val="BodyText"/>
      </w:pPr>
      <w:r>
        <w:t xml:space="preserve">2. Supplier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EducaLima S.A.C. — Educational Materials &amp; Teacher Primary Training Services</w:t>
            </w:r>
          </w:p>
        </w:tc>
        <w:tc>
          <w:tcPr/>
          <w:p>
            <w:pPr>
              <w:pStyle w:val="Compact"/>
              <w:jc w:val="left"/>
            </w:pPr>
            <w:r>
              <w:rPr>
                <w:bCs/>
                <w:b/>
              </w:rPr>
              <w:t xml:space="preserve">RUC:</w:t>
            </w:r>
            <w:r>
              <w:t xml:space="preserve"> </w:t>
            </w:r>
            <w:r>
              <w:t xml:space="preserve">20609876543</w:t>
            </w:r>
          </w:p>
        </w:tc>
      </w:tr>
      <w:tr>
        <w:tc>
          <w:tcPr/>
          <w:p>
            <w:pPr>
              <w:pStyle w:val="Compact"/>
              <w:jc w:val="left"/>
            </w:pPr>
            <w:r>
              <w:rPr>
                <w:bCs/>
                <w:b/>
              </w:rPr>
              <w:t xml:space="preserve">Address:</w:t>
            </w:r>
            <w:r>
              <w:t xml:space="preserve"> </w:t>
            </w:r>
            <w:r>
              <w:t xml:space="preserve">Jr. Puno 456, Miraflores, Lima, Peru</w:t>
            </w:r>
          </w:p>
        </w:tc>
        <w:tc>
          <w:tcPr/>
          <w:p>
            <w:pPr>
              <w:pStyle w:val="Compact"/>
              <w:jc w:val="left"/>
            </w:pPr>
            <w:r>
              <w:rPr>
                <w:bCs/>
                <w:b/>
              </w:rPr>
              <w:t xml:space="preserve">Contact:</w:t>
            </w:r>
            <w:r>
              <w:t xml:space="preserve"> </w:t>
            </w:r>
            <w:r>
              <w:t xml:space="preserve">Ing. Carlos Alberto Mendoza Ríos</w:t>
            </w:r>
          </w:p>
        </w:tc>
      </w:tr>
      <w:tr>
        <w:tc>
          <w:tcPr/>
          <w:p>
            <w:pPr>
              <w:pStyle w:val="Compact"/>
              <w:jc w:val="left"/>
            </w:pPr>
            <w:r>
              <w:rPr>
                <w:bCs/>
                <w:b/>
              </w:rPr>
              <w:t xml:space="preserve">Phone:</w:t>
            </w:r>
            <w:r>
              <w:t xml:space="preserve"> </w:t>
            </w:r>
            <w:r>
              <w:t xml:space="preserve">+51 1 447-2233</w:t>
            </w:r>
          </w:p>
        </w:tc>
        <w:tc>
          <w:tcPr/>
          <w:p>
            <w:pPr>
              <w:pStyle w:val="Compact"/>
              <w:jc w:val="left"/>
            </w:pPr>
            <w:r>
              <w:rPr>
                <w:bCs/>
                <w:b/>
              </w:rPr>
              <w:t xml:space="preserve">Email:</w:t>
            </w:r>
            <w:r>
              <w:t xml:space="preserve"> </w:t>
            </w:r>
            <w:r>
              <w:t xml:space="preserve">ventas@educalima.com.pe</w:t>
            </w:r>
          </w:p>
        </w:tc>
      </w:tr>
    </w:tbl>
    <w:p>
      <w:pPr>
        <w:pStyle w:val="BodyText"/>
      </w:pPr>
      <w:r>
        <w:t xml:space="preserve">3. Purchase Order Line Items — Teacher Primary Program, Lima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01</w:t>
            </w:r>
          </w:p>
        </w:tc>
        <w:tc>
          <w:tcPr/>
          <w:p>
            <w:pPr>
              <w:pStyle w:val="Compact"/>
              <w:jc w:val="left"/>
            </w:pPr>
            <w:r>
              <w:t xml:space="preserve">Teacher Primary Professional Development Workshop (40-hour certification course for primary school teachers in Lima)</w:t>
            </w:r>
          </w:p>
        </w:tc>
        <w:tc>
          <w:tcPr/>
          <w:p>
            <w:pPr>
              <w:pStyle w:val="Compact"/>
              <w:jc w:val="left"/>
            </w:pPr>
            <w:r>
              <w:t xml:space="preserve">120</w:t>
            </w:r>
          </w:p>
        </w:tc>
        <w:tc>
          <w:tcPr/>
          <w:p>
            <w:pPr>
              <w:pStyle w:val="Compact"/>
              <w:jc w:val="left"/>
            </w:pPr>
            <w:r>
              <w:t xml:space="preserve">Seats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Teacher Primary Classroom Resource Kit (includes lesson plans, didactic materials, and assessment tools for grades 1–5)</w:t>
            </w:r>
          </w:p>
        </w:tc>
        <w:tc>
          <w:tcPr/>
          <w:p>
            <w:pPr>
              <w:pStyle w:val="Compact"/>
              <w:jc w:val="left"/>
            </w:pPr>
            <w:r>
              <w:t xml:space="preserve">350</w:t>
            </w:r>
          </w:p>
        </w:tc>
        <w:tc>
          <w:tcPr/>
          <w:p>
            <w:pPr>
              <w:pStyle w:val="Compact"/>
              <w:jc w:val="left"/>
            </w:pPr>
            <w:r>
              <w:t xml:space="preserve">Kits</w:t>
            </w:r>
          </w:p>
        </w:tc>
        <w:tc>
          <w:tcPr/>
          <w:p>
            <w:pPr>
              <w:pStyle w:val="Compact"/>
              <w:jc w:val="left"/>
            </w:pPr>
            <w:r>
              <w:t xml:space="preserve">420.00</w:t>
            </w:r>
          </w:p>
        </w:tc>
        <w:tc>
          <w:tcPr/>
          <w:p>
            <w:pPr>
              <w:pStyle w:val="Compact"/>
              <w:jc w:val="left"/>
            </w:pPr>
            <w:r>
              <w:t xml:space="preserve">147,000.00</w:t>
            </w:r>
          </w:p>
        </w:tc>
      </w:tr>
      <w:tr>
        <w:tc>
          <w:tcPr/>
          <w:p>
            <w:pPr>
              <w:pStyle w:val="Compact"/>
              <w:jc w:val="left"/>
            </w:pPr>
            <w:r>
              <w:t xml:space="preserve">03</w:t>
            </w:r>
          </w:p>
        </w:tc>
        <w:tc>
          <w:tcPr/>
          <w:p>
            <w:pPr>
              <w:pStyle w:val="Compact"/>
              <w:jc w:val="left"/>
            </w:pPr>
            <w:r>
              <w:t xml:space="preserve">Teacher Primary Digital Learning Platform License (annual subscription for interactive teaching tools)</w:t>
            </w:r>
          </w:p>
        </w:tc>
        <w:tc>
          <w:tcPr/>
          <w:p>
            <w:pPr>
              <w:pStyle w:val="Compact"/>
              <w:jc w:val="left"/>
            </w:pPr>
            <w:r>
              <w:t xml:space="preserve">200</w:t>
            </w:r>
          </w:p>
        </w:tc>
        <w:tc>
          <w:tcPr/>
          <w:p>
            <w:pPr>
              <w:pStyle w:val="Compact"/>
              <w:jc w:val="left"/>
            </w:pPr>
            <w:r>
              <w:t xml:space="preserve">Accounts</w:t>
            </w:r>
          </w:p>
        </w:tc>
        <w:tc>
          <w:tcPr/>
          <w:p>
            <w:pPr>
              <w:pStyle w:val="Compact"/>
              <w:jc w:val="left"/>
            </w:pPr>
            <w:r>
              <w:t xml:space="preserve">680.00</w:t>
            </w:r>
          </w:p>
        </w:tc>
        <w:tc>
          <w:tcPr/>
          <w:p>
            <w:pPr>
              <w:pStyle w:val="Compact"/>
              <w:jc w:val="left"/>
            </w:pPr>
            <w:r>
              <w:t xml:space="preserve">136,000.00</w:t>
            </w:r>
          </w:p>
        </w:tc>
      </w:tr>
      <w:tr>
        <w:tc>
          <w:tcPr/>
          <w:p>
            <w:pPr>
              <w:pStyle w:val="Compact"/>
              <w:jc w:val="left"/>
            </w:pPr>
            <w:r>
              <w:t xml:space="preserve">04</w:t>
            </w:r>
          </w:p>
        </w:tc>
        <w:tc>
          <w:tcPr/>
          <w:p>
            <w:pPr>
              <w:pStyle w:val="Compact"/>
              <w:jc w:val="left"/>
            </w:pPr>
            <w:r>
              <w:t xml:space="preserve">Teacher Primary Printed Curriculum Guide — 2025 Academic Year (Lima Regional Edition)</w:t>
            </w:r>
          </w:p>
        </w:tc>
        <w:tc>
          <w:tcPr/>
          <w:p>
            <w:pPr>
              <w:pStyle w:val="Compact"/>
              <w:jc w:val="left"/>
            </w:pPr>
            <w:r>
              <w:t xml:space="preserve">500</w:t>
            </w:r>
          </w:p>
        </w:tc>
        <w:tc>
          <w:tcPr/>
          <w:p>
            <w:pPr>
              <w:pStyle w:val="Compact"/>
              <w:jc w:val="left"/>
            </w:pPr>
            <w:r>
              <w:t xml:space="preserve">Copies</w:t>
            </w:r>
          </w:p>
        </w:tc>
        <w:tc>
          <w:tcPr/>
          <w:p>
            <w:pPr>
              <w:pStyle w:val="Compact"/>
              <w:jc w:val="left"/>
            </w:pPr>
            <w:r>
              <w:t xml:space="preserve">85.00</w:t>
            </w:r>
          </w:p>
        </w:tc>
        <w:tc>
          <w:tcPr/>
          <w:p>
            <w:pPr>
              <w:pStyle w:val="Compact"/>
              <w:jc w:val="left"/>
            </w:pPr>
            <w:r>
              <w:t xml:space="preserve">42,500.00</w:t>
            </w:r>
          </w:p>
        </w:tc>
      </w:tr>
      <w:tr>
        <w:tc>
          <w:tcPr/>
          <w:p>
            <w:pPr>
              <w:pStyle w:val="Compact"/>
              <w:jc w:val="left"/>
            </w:pPr>
            <w:r>
              <w:t xml:space="preserve">05</w:t>
            </w:r>
          </w:p>
        </w:tc>
        <w:tc>
          <w:tcPr/>
          <w:p>
            <w:pPr>
              <w:pStyle w:val="Compact"/>
              <w:jc w:val="left"/>
            </w:pPr>
            <w:r>
              <w:t xml:space="preserve">Teacher Primary Mentoring &amp; Coaching Service (quarterly on-site visits to primary schools across Lima districts)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38,000.00</w:t>
            </w:r>
          </w:p>
        </w:tc>
        <w:tc>
          <w:tcPr/>
          <w:p>
            <w:pPr>
              <w:pStyle w:val="Compact"/>
              <w:jc w:val="left"/>
            </w:pPr>
            <w:r>
              <w:t xml:space="preserve">152,000.00</w:t>
            </w:r>
          </w:p>
        </w:tc>
      </w:tr>
      <w:tr>
        <w:tc>
          <w:tcPr/>
          <w:p>
            <w:pPr>
              <w:pStyle w:val="Compact"/>
              <w:jc w:val="left"/>
            </w:pPr>
            <w:r>
              <w:t xml:space="preserve">06</w:t>
            </w:r>
          </w:p>
        </w:tc>
        <w:tc>
          <w:tcPr/>
          <w:p>
            <w:pPr>
              <w:pStyle w:val="Compact"/>
              <w:jc w:val="left"/>
            </w:pPr>
            <w:r>
              <w:t xml:space="preserve">Teacher Primary Evaluation &amp; Certification Assessment Package (standardized testing materials for teacher competency review)</w:t>
            </w:r>
          </w:p>
        </w:tc>
        <w:tc>
          <w:tcPr/>
          <w:p>
            <w:pPr>
              <w:pStyle w:val="Compact"/>
              <w:jc w:val="left"/>
            </w:pPr>
            <w:r>
              <w:t xml:space="preserve">120</w:t>
            </w:r>
          </w:p>
        </w:tc>
        <w:tc>
          <w:tcPr/>
          <w:p>
            <w:pPr>
              <w:pStyle w:val="Compact"/>
              <w:jc w:val="left"/>
            </w:pPr>
            <w:r>
              <w:t xml:space="preserve">Packages</w:t>
            </w:r>
          </w:p>
        </w:tc>
        <w:tc>
          <w:tcPr/>
          <w:p>
            <w:pPr>
              <w:pStyle w:val="Compact"/>
              <w:jc w:val="left"/>
            </w:pPr>
            <w:r>
              <w:t xml:space="preserve">275.00</w:t>
            </w:r>
          </w:p>
        </w:tc>
        <w:tc>
          <w:tcPr/>
          <w:p>
            <w:pPr>
              <w:pStyle w:val="Compact"/>
              <w:jc w:val="left"/>
            </w:pPr>
            <w:r>
              <w:t xml:space="preserve">33,000.00</w:t>
            </w:r>
          </w:p>
        </w:tc>
      </w:tr>
      <w:tr>
        <w:tc>
          <w:tcPr/>
          <w:p>
            <w:pPr>
              <w:pStyle w:val="Compact"/>
              <w:jc w:val="left"/>
            </w:pPr>
            <w:r>
              <w:t xml:space="preserve">07</w:t>
            </w:r>
          </w:p>
        </w:tc>
        <w:tc>
          <w:tcPr/>
          <w:p>
            <w:pPr>
              <w:pStyle w:val="Compact"/>
              <w:jc w:val="left"/>
            </w:pPr>
            <w:r>
              <w:t xml:space="preserve">Teacher Primary Conference Participation — Annual National Primary Education Summit, Lima Convention Center</w:t>
            </w:r>
          </w:p>
        </w:tc>
        <w:tc>
          <w:tcPr/>
          <w:p>
            <w:pPr>
              <w:pStyle w:val="Compact"/>
              <w:jc w:val="left"/>
            </w:pPr>
            <w:r>
              <w:t xml:space="preserve">60</w:t>
            </w:r>
          </w:p>
        </w:tc>
        <w:tc>
          <w:tcPr/>
          <w:p>
            <w:pPr>
              <w:pStyle w:val="Compact"/>
              <w:jc w:val="left"/>
            </w:pPr>
            <w:r>
              <w:t xml:space="preserve">Registrations</w:t>
            </w:r>
          </w:p>
        </w:tc>
        <w:tc>
          <w:tcPr/>
          <w:p>
            <w:pPr>
              <w:pStyle w:val="Compact"/>
              <w:jc w:val="left"/>
            </w:pPr>
            <w:r>
              <w:t xml:space="preserve">950.00</w:t>
            </w:r>
          </w:p>
        </w:tc>
        <w:tc>
          <w:tcPr/>
          <w:p>
            <w:pPr>
              <w:pStyle w:val="Compact"/>
              <w:jc w:val="left"/>
            </w:pPr>
            <w:r>
              <w:t xml:space="preserve">57,000.00</w:t>
            </w:r>
          </w:p>
        </w:tc>
      </w:tr>
      <w:tr>
        <w:tc>
          <w:tcPr>
            <w:gridSpan w:val="5"/>
          </w:tcPr>
          <w:p>
            <w:pPr>
              <w:pStyle w:val="Compact"/>
              <w:jc w:val="right"/>
            </w:pPr>
            <w:r>
              <w:t xml:space="preserve">TOTAL AMOUNT (PEN):</w:t>
            </w:r>
          </w:p>
        </w:tc>
        <w:tc>
          <w:tcPr/>
          <w:p>
            <w:pPr>
              <w:pStyle w:val="Compact"/>
              <w:jc w:val="left"/>
            </w:pPr>
            <w:r>
              <w:t xml:space="preserve">789,500.00</w:t>
            </w:r>
          </w:p>
        </w:tc>
      </w:tr>
      <w:tr>
        <w:tc>
          <w:tcPr>
            <w:gridSpan w:val="5"/>
          </w:tcPr>
          <w:p>
            <w:pPr>
              <w:pStyle w:val="Compact"/>
              <w:jc w:val="right"/>
            </w:pPr>
            <w:r>
              <w:t xml:space="preserve">IGV (18%):</w:t>
            </w:r>
          </w:p>
        </w:tc>
        <w:tc>
          <w:tcPr/>
          <w:p>
            <w:pPr>
              <w:pStyle w:val="Compact"/>
              <w:jc w:val="left"/>
            </w:pPr>
            <w:r>
              <w:t xml:space="preserve">142,110.00</w:t>
            </w:r>
          </w:p>
        </w:tc>
      </w:tr>
      <w:tr>
        <w:tc>
          <w:tcPr>
            <w:gridSpan w:val="5"/>
          </w:tcPr>
          <w:p>
            <w:pPr>
              <w:pStyle w:val="Compact"/>
              <w:jc w:val="right"/>
            </w:pPr>
            <w:r>
              <w:t xml:space="preserve">GRAND TOTAL (PEN):</w:t>
            </w:r>
          </w:p>
        </w:tc>
        <w:tc>
          <w:tcPr/>
          <w:p>
            <w:pPr>
              <w:pStyle w:val="Compact"/>
              <w:jc w:val="left"/>
            </w:pPr>
            <w:r>
              <w:t xml:space="preserve">931,610.00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is issued by the Ministry of Education of Peru, Lima Regional Directorate, for the procurement of goods and services specifically designated for the</w:t>
      </w:r>
      <w:r>
        <w:t xml:space="preserve"> </w:t>
      </w:r>
      <w:r>
        <w:t xml:space="preserve">Teacher Primary</w:t>
      </w:r>
      <w:r>
        <w:t xml:space="preserve"> </w:t>
      </w:r>
      <w:r>
        <w:t xml:space="preserve">professional development and support program operating within the Lima metropolitan area.</w:t>
      </w:r>
    </w:p>
    <w:p>
      <w:pPr>
        <w:numPr>
          <w:ilvl w:val="0"/>
          <w:numId w:val="1001"/>
        </w:numPr>
        <w:pStyle w:val="Compact"/>
      </w:pPr>
      <w:r>
        <w:t xml:space="preserve">All items listed under the</w:t>
      </w:r>
      <w:r>
        <w:t xml:space="preserve"> </w:t>
      </w:r>
      <w:r>
        <w:t xml:space="preserve">Teacher Primary</w:t>
      </w:r>
      <w:r>
        <w:t xml:space="preserve"> </w:t>
      </w:r>
      <w:r>
        <w:t xml:space="preserve">program must comply with the technical specifications established by the National Curriculum Standards (CNEB) and the regulations issued by the Ministry of Education of Peru applicable to primary education in Lima.</w:t>
      </w:r>
    </w:p>
    <w:p>
      <w:pPr>
        <w:numPr>
          <w:ilvl w:val="0"/>
          <w:numId w:val="1001"/>
        </w:numPr>
        <w:pStyle w:val="Compact"/>
      </w:pPr>
      <w:r>
        <w:t xml:space="preserve">The supplier, EducaLima S.A.C., shall deliver all physical materials (Items 02, 04, and 06) to the designated primary school locations across the Lima districts of Miraflores, San Isidro, Surco, La Molina, and San Borja within thirty (30) calendar days from the date of this</w:t>
      </w:r>
      <w:r>
        <w:t xml:space="preserve"> </w:t>
      </w:r>
      <w:r>
        <w:t xml:space="preserve">Purchase Order</w:t>
      </w:r>
      <w:r>
        <w:t xml:space="preserve">.</w:t>
      </w:r>
    </w:p>
    <w:p>
      <w:pPr>
        <w:numPr>
          <w:ilvl w:val="0"/>
          <w:numId w:val="1001"/>
        </w:numPr>
        <w:pStyle w:val="Compact"/>
      </w:pPr>
      <w:r>
        <w:t xml:space="preserve">Professional development workshops (Item 01) and the mentoring service (Item 05) shall be conducted at venues approved by the Lima Regional Directorate. All</w:t>
      </w:r>
      <w:r>
        <w:t xml:space="preserve"> </w:t>
      </w:r>
      <w:r>
        <w:t xml:space="preserve">Teacher Primary</w:t>
      </w:r>
      <w:r>
        <w:t xml:space="preserve"> </w:t>
      </w:r>
      <w:r>
        <w:t xml:space="preserve">training sessions must be delivered in Spanish and shall accommodate a minimum of twenty (20) and a maximum of forty (40) primary school teachers per session.</w:t>
      </w:r>
    </w:p>
    <w:p>
      <w:pPr>
        <w:numPr>
          <w:ilvl w:val="0"/>
          <w:numId w:val="1001"/>
        </w:numPr>
        <w:pStyle w:val="Compact"/>
      </w:pPr>
      <w:r>
        <w:t xml:space="preserve">Payment terms: Net 45 days from the date of invoice receipt and verified delivery. Payment shall be made via bank transfer to the supplier's account registered under RUC 20609876543. The</w:t>
      </w:r>
      <w:r>
        <w:t xml:space="preserve"> </w:t>
      </w:r>
      <w:r>
        <w:t xml:space="preserve">Purchase Order</w:t>
      </w:r>
      <w:r>
        <w:t xml:space="preserve"> </w:t>
      </w:r>
      <w:r>
        <w:t xml:space="preserve">number PO-LIM-2025-04872 must be referenced on all invoices.</w:t>
      </w:r>
    </w:p>
    <w:p>
      <w:pPr>
        <w:numPr>
          <w:ilvl w:val="0"/>
          <w:numId w:val="1001"/>
        </w:numPr>
        <w:pStyle w:val="Compact"/>
      </w:pPr>
      <w:r>
        <w:t xml:space="preserve">The supplier guarantees that all</w:t>
      </w:r>
      <w:r>
        <w:t xml:space="preserve"> </w:t>
      </w:r>
      <w:r>
        <w:t xml:space="preserve">Teacher Primary</w:t>
      </w:r>
      <w:r>
        <w:t xml:space="preserve"> </w:t>
      </w:r>
      <w:r>
        <w:t xml:space="preserve">materials are free of intellectual property infringement and are authorized for use in public primary schools in Peru. Any claim arising from non-compliance shall be the sole responsibility of the supplier.</w:t>
      </w:r>
    </w:p>
    <w:p>
      <w:pPr>
        <w:numPr>
          <w:ilvl w:val="0"/>
          <w:numId w:val="1001"/>
        </w:numPr>
        <w:pStyle w:val="Compact"/>
      </w:pPr>
      <w:r>
        <w:t xml:space="preserve">Warranty: All digital platform licenses (Item 03) carry a full one-year warranty from the date of activation. Physical materials (Items 02, 04, 06) carry a ninety (90) day defect replacement warranty. The supplier shall replace defective items at no additional cost within Lima, Peru.</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Peru, specifically the Public Procurement Law (Ley Nº 30225) and its regulations. Any disputes arising from this</w:t>
      </w:r>
      <w:r>
        <w:t xml:space="preserve"> </w:t>
      </w:r>
      <w:r>
        <w:t xml:space="preserve">Purchase Order</w:t>
      </w:r>
      <w:r>
        <w:t xml:space="preserve"> </w:t>
      </w:r>
      <w:r>
        <w:t xml:space="preserve">shall be resolved in the courts of Lima, Peru.</w:t>
      </w:r>
    </w:p>
    <w:p>
      <w:pPr>
        <w:numPr>
          <w:ilvl w:val="0"/>
          <w:numId w:val="1001"/>
        </w:numPr>
        <w:pStyle w:val="Compact"/>
      </w:pPr>
      <w:r>
        <w:t xml:space="preserve">The supplier acknowledges that this</w:t>
      </w:r>
      <w:r>
        <w:t xml:space="preserve"> </w:t>
      </w:r>
      <w:r>
        <w:t xml:space="preserve">Purchase Order</w:t>
      </w:r>
      <w:r>
        <w:t xml:space="preserve"> </w:t>
      </w:r>
      <w:r>
        <w:t xml:space="preserve">is part of the national strategy to improve the quality of</w:t>
      </w:r>
      <w:r>
        <w:t xml:space="preserve"> </w:t>
      </w:r>
      <w:r>
        <w:t xml:space="preserve">Teacher Primary</w:t>
      </w:r>
      <w:r>
        <w:t xml:space="preserve"> </w:t>
      </w:r>
      <w:r>
        <w:t xml:space="preserve">education in Lima and commits to maintaining the highest standards of pedagogical excellence in all deliverables.</w:t>
      </w:r>
    </w:p>
    <w:p>
      <w:pPr>
        <w:numPr>
          <w:ilvl w:val="0"/>
          <w:numId w:val="1001"/>
        </w:numPr>
        <w:pStyle w:val="Compact"/>
      </w:pPr>
      <w:r>
        <w:t xml:space="preserve">Any modifications to this</w:t>
      </w:r>
      <w:r>
        <w:t xml:space="preserve"> </w:t>
      </w:r>
      <w:r>
        <w:t xml:space="preserve">Purchase Order</w:t>
      </w:r>
      <w:r>
        <w:t xml:space="preserve"> </w:t>
      </w:r>
      <w:r>
        <w:t xml:space="preserve">must be made in writing and signed by both parties. Verbal agreements regarding the</w:t>
      </w:r>
      <w:r>
        <w:t xml:space="preserve"> </w:t>
      </w:r>
      <w:r>
        <w:t xml:space="preserve">Teacher Primary</w:t>
      </w:r>
      <w:r>
        <w:t xml:space="preserve"> </w:t>
      </w:r>
      <w:r>
        <w:t xml:space="preserve">program scope, quantities, or pricing in Lima shall not be binding.</w:t>
      </w:r>
    </w:p>
    <w:p>
      <w:pPr>
        <w:numPr>
          <w:ilvl w:val="0"/>
          <w:numId w:val="1001"/>
        </w:numPr>
        <w:pStyle w:val="Compact"/>
      </w:pPr>
      <w:r>
        <w:t xml:space="preserve">The supplier shall submit a detailed progress report to the Lima Regional Directorate every thirty (30) days, detailing the status of all</w:t>
      </w:r>
      <w:r>
        <w:t xml:space="preserve"> </w:t>
      </w:r>
      <w:r>
        <w:t xml:space="preserve">Teacher Primary</w:t>
      </w:r>
      <w:r>
        <w:t xml:space="preserve"> </w:t>
      </w:r>
      <w:r>
        <w:t xml:space="preserve">deliverables, participant attendance records, and any issues encountered during implementation.</w:t>
      </w:r>
    </w:p>
    <w:p>
      <w:pPr>
        <w:pStyle w:val="FirstParagraph"/>
      </w:pPr>
      <w:r>
        <w:t xml:space="preserve">5. Delivery and Acceptance</w:t>
      </w:r>
    </w:p>
    <w:p>
      <w:pPr>
        <w:pStyle w:val="BodyText"/>
      </w:pPr>
      <w:r>
        <w:t xml:space="preserve">All</w:t>
      </w:r>
      <w:r>
        <w:t xml:space="preserve"> </w:t>
      </w:r>
      <w:r>
        <w:t xml:space="preserve">Teacher Primary</w:t>
      </w:r>
      <w:r>
        <w:t xml:space="preserve"> </w:t>
      </w:r>
      <w:r>
        <w:t xml:space="preserve">deliverables under this</w:t>
      </w:r>
      <w:r>
        <w:t xml:space="preserve"> </w:t>
      </w:r>
      <w:r>
        <w:t xml:space="preserve">Purchase Order</w:t>
      </w:r>
      <w:r>
        <w:t xml:space="preserve"> </w:t>
      </w:r>
      <w:r>
        <w:t xml:space="preserve">shall be accepted by the designated Quality Assurance Officer of the Lima Regional Directorate. Acceptance shall be confirmed in writing within ten (10) business days of delivery. Rejected items must be replaced or corrected within fifteen (15) business days at the supplier's expense. The delivery address for all physical goods is: Av. Javier Prado Este 1200, San Isidro, Lima, Peru, or such other primary school locations in Lima as may be specified in writing by the buyer.</w:t>
      </w:r>
    </w:p>
    <w:p>
      <w:pPr>
        <w:pStyle w:val="BodyText"/>
      </w:pPr>
      <w:r>
        <w:rPr>
          <w:bCs/>
          <w:b/>
        </w:rPr>
        <w:t xml:space="preserve">Lic. María Elena Quispe Torres</w:t>
      </w:r>
      <w:r>
        <w:br/>
      </w:r>
      <w:r>
        <w:t xml:space="preserve">Director, Lima Regional Directorate</w:t>
      </w:r>
      <w:r>
        <w:br/>
      </w:r>
      <w:r>
        <w:t xml:space="preserve">Ministry of Education of Peru</w:t>
      </w:r>
      <w:r>
        <w:br/>
      </w:r>
      <w:r>
        <w:t xml:space="preserve">Date: _______________</w:t>
      </w:r>
    </w:p>
    <w:p>
      <w:pPr>
        <w:pStyle w:val="BodyText"/>
      </w:pPr>
      <w:r>
        <w:rPr>
          <w:bCs/>
          <w:b/>
        </w:rPr>
        <w:t xml:space="preserve">Ing. Carlos Alberto Mendoza Ríos</w:t>
      </w:r>
      <w:r>
        <w:br/>
      </w:r>
      <w:r>
        <w:t xml:space="preserve">Authorized Representative</w:t>
      </w:r>
      <w:r>
        <w:br/>
      </w:r>
      <w:r>
        <w:t xml:space="preserve">EducaLima S.A.C.</w:t>
      </w:r>
      <w:r>
        <w:br/>
      </w:r>
      <w:r>
        <w:t xml:space="preserve">Date: _______________</w:t>
      </w:r>
    </w:p>
    <w:p>
      <w:pPr>
        <w:pStyle w:val="BodyText"/>
      </w:pPr>
      <w:r>
        <w:t xml:space="preserve">This</w:t>
      </w:r>
      <w:r>
        <w:t xml:space="preserve"> </w:t>
      </w:r>
      <w:r>
        <w:t xml:space="preserve">Purchase Order</w:t>
      </w:r>
      <w:r>
        <w:t xml:space="preserve"> </w:t>
      </w:r>
      <w:r>
        <w:t xml:space="preserve">(PO-LIM-2025-04872) is an official document of the Ministry of Education of Peru, Lima Regional Directorate, issued for the</w:t>
      </w:r>
      <w:r>
        <w:t xml:space="preserve"> </w:t>
      </w:r>
      <w:r>
        <w:t xml:space="preserve">Teacher Primary</w:t>
      </w:r>
      <w:r>
        <w:t xml:space="preserve"> </w:t>
      </w:r>
      <w:r>
        <w:t xml:space="preserve">professional development program. It is valid only for transactions conducted within the jurisdiction of Lima, Peru. Unauthorized reproduction or distribution of this</w:t>
      </w:r>
      <w:r>
        <w:t xml:space="preserve"> </w:t>
      </w:r>
      <w:r>
        <w:t xml:space="preserve">Purchase Order</w:t>
      </w:r>
      <w:r>
        <w:t xml:space="preserve"> </w:t>
      </w:r>
      <w:r>
        <w:t xml:space="preserve">is prohibited under Peruvian law.</w:t>
      </w:r>
    </w:p>
    <w:p>
      <w:pPr>
        <w:pStyle w:val="BodyText"/>
      </w:pPr>
      <w:r>
        <w:t xml:space="preserve">Document generated: June 15, 2025 | Page 1 of 1 | Classification: Official Use — Peru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Peru Lima</dc:title>
  <dc:creator/>
  <dc:language>en</dc:language>
  <cp:keywords/>
  <dcterms:created xsi:type="dcterms:W3CDTF">2026-10-10T06:10:38Z</dcterms:created>
  <dcterms:modified xsi:type="dcterms:W3CDTF">2026-10-10T06:10:38Z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