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Brazil</w:t>
      </w:r>
      <w:r>
        <w:t xml:space="preserve"> </w:t>
      </w:r>
      <w:r>
        <w:t xml:space="preserve">São</w:t>
      </w:r>
      <w:r>
        <w:t xml:space="preserve"> </w:t>
      </w:r>
      <w:r>
        <w:t xml:space="preserve">Paulo</w:t>
      </w:r>
    </w:p>
    <w:bookmarkStart w:id="31" w:name="purchase-order"/>
    <w:p>
      <w:pPr>
        <w:pStyle w:val="Heading1"/>
      </w:pPr>
      <w:r>
        <w:t xml:space="preserve">PURCHASE ORDER</w:t>
      </w:r>
    </w:p>
    <w:p>
      <w:pPr>
        <w:pStyle w:val="FirstParagraph"/>
      </w:pPr>
      <w:r>
        <w:rPr>
          <w:bCs/>
          <w:b/>
        </w:rPr>
        <w:t xml:space="preserve">Teacher Secondary Educational Supply Program</w:t>
      </w:r>
    </w:p>
    <w:p>
      <w:pPr>
        <w:pStyle w:val="BodyText"/>
      </w:pPr>
      <w:r>
        <w:t xml:space="preserve">Brazil São Paulo — State Department of Education</w:t>
      </w:r>
    </w:p>
    <w:bookmarkStart w:id="20" w:name="issuing-authority"/>
    <w:p>
      <w:pPr>
        <w:pStyle w:val="Heading3"/>
      </w:pPr>
      <w:r>
        <w:t xml:space="preserve">Issuing Authority</w:t>
      </w:r>
    </w:p>
    <w:p>
      <w:pPr>
        <w:pStyle w:val="FirstParagraph"/>
      </w:pPr>
      <w:r>
        <w:rPr>
          <w:bCs/>
          <w:b/>
        </w:rPr>
        <w:t xml:space="preserve">Secretaria da Educação do Estado de São Paulo</w:t>
      </w:r>
      <w:r>
        <w:br/>
      </w:r>
      <w:r>
        <w:t xml:space="preserve">Av. Dr. Cardoso de Melo, 1.173 — Vila Olímpia</w:t>
      </w:r>
      <w:r>
        <w:br/>
      </w:r>
      <w:r>
        <w:t xml:space="preserve">São Paulo, SP — CEP 04578-000</w:t>
      </w:r>
      <w:r>
        <w:br/>
      </w:r>
      <w:r>
        <w:t xml:space="preserve">Brazil</w:t>
      </w:r>
      <w:r>
        <w:br/>
      </w:r>
      <w:r>
        <w:t xml:space="preserve">CNPJ: 62.908.000/0001-00</w:t>
      </w:r>
      <w:r>
        <w:br/>
      </w:r>
      <w:r>
        <w:t xml:space="preserve">Contact: compras.educacao@sp.gov.br</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PO-SP-2025-04871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Priority:</w:t>
      </w:r>
      <w:r>
        <w:t xml:space="preserve"> </w:t>
      </w:r>
      <w:r>
        <w:t xml:space="preserve">HIGH</w:t>
      </w:r>
      <w:r>
        <w:br/>
      </w:r>
      <w:r>
        <w:rPr>
          <w:bCs/>
          <w:b/>
        </w:rPr>
        <w:t xml:space="preserve">Currency:</w:t>
      </w:r>
      <w:r>
        <w:t xml:space="preserve"> </w:t>
      </w:r>
      <w:r>
        <w:t xml:space="preserve">BRL (Brazilian Real)</w:t>
      </w:r>
    </w:p>
    <w:bookmarkEnd w:id="21"/>
    <w:bookmarkStart w:id="22"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EduTech Brasil Comércio e Serviços Educacionais Ltda.</w:t>
            </w:r>
          </w:p>
        </w:tc>
      </w:tr>
      <w:tr>
        <w:tc>
          <w:tcPr/>
          <w:p>
            <w:pPr>
              <w:pStyle w:val="Compact"/>
              <w:jc w:val="left"/>
            </w:pPr>
            <w:r>
              <w:t xml:space="preserve">CNPJ</w:t>
            </w:r>
          </w:p>
        </w:tc>
        <w:tc>
          <w:tcPr/>
          <w:p>
            <w:pPr>
              <w:pStyle w:val="Compact"/>
              <w:jc w:val="left"/>
            </w:pPr>
            <w:r>
              <w:t xml:space="preserve">12.345.678/0001-90</w:t>
            </w:r>
          </w:p>
        </w:tc>
      </w:tr>
      <w:tr>
        <w:tc>
          <w:tcPr/>
          <w:p>
            <w:pPr>
              <w:pStyle w:val="Compact"/>
              <w:jc w:val="left"/>
            </w:pPr>
            <w:r>
              <w:t xml:space="preserve">Address</w:t>
            </w:r>
          </w:p>
        </w:tc>
        <w:tc>
          <w:tcPr/>
          <w:p>
            <w:pPr>
              <w:pStyle w:val="Compact"/>
              <w:jc w:val="left"/>
            </w:pPr>
            <w:r>
              <w:t xml:space="preserve">Rua das Acácias, 245 — Jardim Europa, São Paulo, SP — CEP 01452-000, Brazil</w:t>
            </w:r>
          </w:p>
        </w:tc>
      </w:tr>
      <w:tr>
        <w:tc>
          <w:tcPr/>
          <w:p>
            <w:pPr>
              <w:pStyle w:val="Compact"/>
              <w:jc w:val="left"/>
            </w:pPr>
            <w:r>
              <w:t xml:space="preserve">Contact Person</w:t>
            </w:r>
          </w:p>
        </w:tc>
        <w:tc>
          <w:tcPr/>
          <w:p>
            <w:pPr>
              <w:pStyle w:val="Compact"/>
              <w:jc w:val="left"/>
            </w:pPr>
            <w:r>
              <w:t xml:space="preserve">Maria Helena Santos — Procurement Manager</w:t>
            </w:r>
          </w:p>
        </w:tc>
      </w:tr>
      <w:tr>
        <w:tc>
          <w:tcPr/>
          <w:p>
            <w:pPr>
              <w:pStyle w:val="Compact"/>
              <w:jc w:val="left"/>
            </w:pPr>
            <w:r>
              <w:t xml:space="preserve">Phone</w:t>
            </w:r>
          </w:p>
        </w:tc>
        <w:tc>
          <w:tcPr/>
          <w:p>
            <w:pPr>
              <w:pStyle w:val="Compact"/>
              <w:jc w:val="left"/>
            </w:pPr>
            <w:r>
              <w:t xml:space="preserve">+55 (11) 3456-7890</w:t>
            </w:r>
          </w:p>
        </w:tc>
      </w:tr>
      <w:tr>
        <w:tc>
          <w:tcPr/>
          <w:p>
            <w:pPr>
              <w:pStyle w:val="Compact"/>
              <w:jc w:val="left"/>
            </w:pPr>
            <w:r>
              <w:t xml:space="preserve">Email</w:t>
            </w:r>
          </w:p>
        </w:tc>
        <w:tc>
          <w:tcPr/>
          <w:p>
            <w:pPr>
              <w:pStyle w:val="Compact"/>
              <w:jc w:val="left"/>
            </w:pPr>
            <w:r>
              <w:t xml:space="preserve">vendas@edutechbrasil.com.br</w:t>
            </w:r>
          </w:p>
        </w:tc>
      </w:tr>
    </w:tbl>
    <w:bookmarkEnd w:id="22"/>
    <w:bookmarkStart w:id="23" w:name="purpose-and-scope-of-this-purchase-order"/>
    <w:p>
      <w:pPr>
        <w:pStyle w:val="Heading2"/>
      </w:pPr>
      <w:r>
        <w:t xml:space="preserve">2. Purpose and Scope of This Purchase Order</w:t>
      </w:r>
    </w:p>
    <w:p>
      <w:pPr>
        <w:pStyle w:val="FirstParagraph"/>
      </w:pPr>
      <w:r>
        <w:t xml:space="preserve">This Purchase Order is issued by the State Department of Education of São Paulo, Brazil, to procure specialized educational materials, digital resources, and professional development kits exclusively designated for</w:t>
      </w:r>
      <w:r>
        <w:t xml:space="preserve"> </w:t>
      </w:r>
      <w:r>
        <w:rPr>
          <w:bCs/>
          <w:b/>
        </w:rPr>
        <w:t xml:space="preserve">Teacher Secondary</w:t>
      </w:r>
      <w:r>
        <w:t xml:space="preserve"> </w:t>
      </w:r>
      <w:r>
        <w:t xml:space="preserve">personnel operating within the public secondary education network of the state. The scope of this Purchase Order encompasses the supply of classroom technology, pedagogical toolkits, curriculum-aligned textbooks, and interactive learning platforms tailored to the needs of secondary-level educators (grades 9 through 12) across all municipal and state secondary schools in the São Paulo metropolitan region and surrounding municipalities.</w:t>
      </w:r>
    </w:p>
    <w:p>
      <w:pPr>
        <w:pStyle w:val="BodyText"/>
      </w:pPr>
      <w:r>
        <w:t xml:space="preserve">The Teacher Secondary program in Brazil São Paulo serves approximately 1.2 million students across 4,800 public secondary institutions. This procurement cycle addresses the 2025–2026 academic year and is funded under the state budget allocation code</w:t>
      </w:r>
      <w:r>
        <w:t xml:space="preserve"> </w:t>
      </w:r>
      <w:r>
        <w:rPr>
          <w:bCs/>
          <w:b/>
        </w:rPr>
        <w:t xml:space="preserve">EDU-SEC-2025-SP</w:t>
      </w:r>
      <w:r>
        <w:t xml:space="preserve">. All items listed below must comply with the Brazilian National Common Curricular Base (Base Nacional Comum Curricular — BNCC) and the specific secondary education guidelines established by the São Paulo State Education Council (CEE-SP).</w:t>
      </w:r>
    </w:p>
    <w:bookmarkEnd w:id="23"/>
    <w:bookmarkStart w:id="24"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Interactive Digital Whiteboard (86-inch, 4K) for Teacher Secondary classroom deployment — São Paulo public secondary schools</w:t>
            </w:r>
          </w:p>
        </w:tc>
        <w:tc>
          <w:tcPr/>
          <w:p>
            <w:pPr>
              <w:pStyle w:val="Compact"/>
              <w:jc w:val="left"/>
            </w:pPr>
            <w:r>
              <w:t xml:space="preserve">1,200</w:t>
            </w:r>
          </w:p>
        </w:tc>
        <w:tc>
          <w:tcPr/>
          <w:p>
            <w:pPr>
              <w:pStyle w:val="Compact"/>
              <w:jc w:val="left"/>
            </w:pPr>
            <w:r>
              <w:t xml:space="preserve">Units</w:t>
            </w:r>
          </w:p>
        </w:tc>
        <w:tc>
          <w:tcPr/>
          <w:p>
            <w:pPr>
              <w:pStyle w:val="Compact"/>
              <w:jc w:val="left"/>
            </w:pPr>
            <w:r>
              <w:t xml:space="preserve">R$ 8,450.00</w:t>
            </w:r>
          </w:p>
        </w:tc>
        <w:tc>
          <w:tcPr/>
          <w:p>
            <w:pPr>
              <w:pStyle w:val="Compact"/>
              <w:jc w:val="left"/>
            </w:pPr>
            <w:r>
              <w:t xml:space="preserve">R$ 10,140,000.00</w:t>
            </w:r>
          </w:p>
        </w:tc>
      </w:tr>
      <w:tr>
        <w:tc>
          <w:tcPr/>
          <w:p>
            <w:pPr>
              <w:pStyle w:val="Compact"/>
              <w:jc w:val="left"/>
            </w:pPr>
            <w:r>
              <w:t xml:space="preserve">02</w:t>
            </w:r>
          </w:p>
        </w:tc>
        <w:tc>
          <w:tcPr/>
          <w:p>
            <w:pPr>
              <w:pStyle w:val="Compact"/>
              <w:jc w:val="left"/>
            </w:pPr>
            <w:r>
              <w:t xml:space="preserve">Teacher Secondary Professional Development Toolkit (includes BNCC-aligned lesson plan templates, assessment rubrics, and pedagogical guides in Portuguese)</w:t>
            </w:r>
          </w:p>
        </w:tc>
        <w:tc>
          <w:tcPr/>
          <w:p>
            <w:pPr>
              <w:pStyle w:val="Compact"/>
              <w:jc w:val="left"/>
            </w:pPr>
            <w:r>
              <w:t xml:space="preserve">15,000</w:t>
            </w:r>
          </w:p>
        </w:tc>
        <w:tc>
          <w:tcPr/>
          <w:p>
            <w:pPr>
              <w:pStyle w:val="Compact"/>
              <w:jc w:val="left"/>
            </w:pPr>
            <w:r>
              <w:t xml:space="preserve">Sets</w:t>
            </w:r>
          </w:p>
        </w:tc>
        <w:tc>
          <w:tcPr/>
          <w:p>
            <w:pPr>
              <w:pStyle w:val="Compact"/>
              <w:jc w:val="left"/>
            </w:pPr>
            <w:r>
              <w:t xml:space="preserve">R$ 320.00</w:t>
            </w:r>
          </w:p>
        </w:tc>
        <w:tc>
          <w:tcPr/>
          <w:p>
            <w:pPr>
              <w:pStyle w:val="Compact"/>
              <w:jc w:val="left"/>
            </w:pPr>
            <w:r>
              <w:t xml:space="preserve">R$ 4,800,000.00</w:t>
            </w:r>
          </w:p>
        </w:tc>
      </w:tr>
      <w:tr>
        <w:tc>
          <w:tcPr/>
          <w:p>
            <w:pPr>
              <w:pStyle w:val="Compact"/>
              <w:jc w:val="left"/>
            </w:pPr>
            <w:r>
              <w:t xml:space="preserve">03</w:t>
            </w:r>
          </w:p>
        </w:tc>
        <w:tc>
          <w:tcPr/>
          <w:p>
            <w:pPr>
              <w:pStyle w:val="Compact"/>
              <w:jc w:val="left"/>
            </w:pPr>
            <w:r>
              <w:t xml:space="preserve">Secondary Education Curriculum Textbook Bundle (Mathematics, Natural Sciences, Humanities, and Languages) — 2025 edition, Brazil São Paulo state-approved</w:t>
            </w:r>
          </w:p>
        </w:tc>
        <w:tc>
          <w:tcPr/>
          <w:p>
            <w:pPr>
              <w:pStyle w:val="Compact"/>
              <w:jc w:val="left"/>
            </w:pPr>
            <w:r>
              <w:t xml:space="preserve">480,000</w:t>
            </w:r>
          </w:p>
        </w:tc>
        <w:tc>
          <w:tcPr/>
          <w:p>
            <w:pPr>
              <w:pStyle w:val="Compact"/>
              <w:jc w:val="left"/>
            </w:pPr>
            <w:r>
              <w:t xml:space="preserve">Copies</w:t>
            </w:r>
          </w:p>
        </w:tc>
        <w:tc>
          <w:tcPr/>
          <w:p>
            <w:pPr>
              <w:pStyle w:val="Compact"/>
              <w:jc w:val="left"/>
            </w:pPr>
            <w:r>
              <w:t xml:space="preserve">R$ 89.50</w:t>
            </w:r>
          </w:p>
        </w:tc>
        <w:tc>
          <w:tcPr/>
          <w:p>
            <w:pPr>
              <w:pStyle w:val="Compact"/>
              <w:jc w:val="left"/>
            </w:pPr>
            <w:r>
              <w:t xml:space="preserve">R$ 42,960,000.00</w:t>
            </w:r>
          </w:p>
        </w:tc>
      </w:tr>
      <w:tr>
        <w:tc>
          <w:tcPr/>
          <w:p>
            <w:pPr>
              <w:pStyle w:val="Compact"/>
              <w:jc w:val="left"/>
            </w:pPr>
            <w:r>
              <w:t xml:space="preserve">04</w:t>
            </w:r>
          </w:p>
        </w:tc>
        <w:tc>
          <w:tcPr/>
          <w:p>
            <w:pPr>
              <w:pStyle w:val="Compact"/>
              <w:jc w:val="left"/>
            </w:pPr>
            <w:r>
              <w:t xml:space="preserve">Teacher Secondary LMS Platform License (annual subscription, 500-user capacity per school, Portuguese interface, BNCC-compliant modules)</w:t>
            </w:r>
          </w:p>
        </w:tc>
        <w:tc>
          <w:tcPr/>
          <w:p>
            <w:pPr>
              <w:pStyle w:val="Compact"/>
              <w:jc w:val="left"/>
            </w:pPr>
            <w:r>
              <w:t xml:space="preserve">4,800</w:t>
            </w:r>
          </w:p>
        </w:tc>
        <w:tc>
          <w:tcPr/>
          <w:p>
            <w:pPr>
              <w:pStyle w:val="Compact"/>
              <w:jc w:val="left"/>
            </w:pPr>
            <w:r>
              <w:t xml:space="preserve">Schools</w:t>
            </w:r>
          </w:p>
        </w:tc>
        <w:tc>
          <w:tcPr/>
          <w:p>
            <w:pPr>
              <w:pStyle w:val="Compact"/>
              <w:jc w:val="left"/>
            </w:pPr>
            <w:r>
              <w:t xml:space="preserve">R$ 12,500.00</w:t>
            </w:r>
          </w:p>
        </w:tc>
        <w:tc>
          <w:tcPr/>
          <w:p>
            <w:pPr>
              <w:pStyle w:val="Compact"/>
              <w:jc w:val="left"/>
            </w:pPr>
            <w:r>
              <w:t xml:space="preserve">R$ 60,000,000.00</w:t>
            </w:r>
          </w:p>
        </w:tc>
      </w:tr>
      <w:tr>
        <w:tc>
          <w:tcPr/>
          <w:p>
            <w:pPr>
              <w:pStyle w:val="Compact"/>
              <w:jc w:val="left"/>
            </w:pPr>
            <w:r>
              <w:t xml:space="preserve">05</w:t>
            </w:r>
          </w:p>
        </w:tc>
        <w:tc>
          <w:tcPr/>
          <w:p>
            <w:pPr>
              <w:pStyle w:val="Compact"/>
              <w:jc w:val="left"/>
            </w:pPr>
            <w:r>
              <w:t xml:space="preserve">Portable Student Response System (clicker sets of 40) for Teacher Secondary interactive classroom sessions</w:t>
            </w:r>
          </w:p>
        </w:tc>
        <w:tc>
          <w:tcPr/>
          <w:p>
            <w:pPr>
              <w:pStyle w:val="Compact"/>
              <w:jc w:val="left"/>
            </w:pPr>
            <w:r>
              <w:t xml:space="preserve">9,600</w:t>
            </w:r>
          </w:p>
        </w:tc>
        <w:tc>
          <w:tcPr/>
          <w:p>
            <w:pPr>
              <w:pStyle w:val="Compact"/>
              <w:jc w:val="left"/>
            </w:pPr>
            <w:r>
              <w:t xml:space="preserve">Sets</w:t>
            </w:r>
          </w:p>
        </w:tc>
        <w:tc>
          <w:tcPr/>
          <w:p>
            <w:pPr>
              <w:pStyle w:val="Compact"/>
              <w:jc w:val="left"/>
            </w:pPr>
            <w:r>
              <w:t xml:space="preserve">R$ 2,100.00</w:t>
            </w:r>
          </w:p>
        </w:tc>
        <w:tc>
          <w:tcPr/>
          <w:p>
            <w:pPr>
              <w:pStyle w:val="Compact"/>
              <w:jc w:val="left"/>
            </w:pPr>
            <w:r>
              <w:t xml:space="preserve">R$ 20,160,000.00</w:t>
            </w:r>
          </w:p>
        </w:tc>
      </w:tr>
      <w:tr>
        <w:tc>
          <w:tcPr/>
          <w:p>
            <w:pPr>
              <w:pStyle w:val="Compact"/>
              <w:jc w:val="left"/>
            </w:pPr>
            <w:r>
              <w:t xml:space="preserve">06</w:t>
            </w:r>
          </w:p>
        </w:tc>
        <w:tc>
          <w:tcPr/>
          <w:p>
            <w:pPr>
              <w:pStyle w:val="Compact"/>
              <w:jc w:val="left"/>
            </w:pPr>
            <w:r>
              <w:t xml:space="preserve">Teacher Secondary Continuing Education Workshop Series (12 modules, in-person delivery in São Paulo, SP — includes certification)</w:t>
            </w:r>
          </w:p>
        </w:tc>
        <w:tc>
          <w:tcPr/>
          <w:p>
            <w:pPr>
              <w:pStyle w:val="Compact"/>
              <w:jc w:val="left"/>
            </w:pPr>
            <w:r>
              <w:t xml:space="preserve">2,400</w:t>
            </w:r>
          </w:p>
        </w:tc>
        <w:tc>
          <w:tcPr/>
          <w:p>
            <w:pPr>
              <w:pStyle w:val="Compact"/>
              <w:jc w:val="left"/>
            </w:pPr>
            <w:r>
              <w:t xml:space="preserve">Teachers</w:t>
            </w:r>
          </w:p>
        </w:tc>
        <w:tc>
          <w:tcPr/>
          <w:p>
            <w:pPr>
              <w:pStyle w:val="Compact"/>
              <w:jc w:val="left"/>
            </w:pPr>
            <w:r>
              <w:t xml:space="preserve">R$ 1,850.00</w:t>
            </w:r>
          </w:p>
        </w:tc>
        <w:tc>
          <w:tcPr/>
          <w:p>
            <w:pPr>
              <w:pStyle w:val="Compact"/>
              <w:jc w:val="left"/>
            </w:pPr>
            <w:r>
              <w:t xml:space="preserve">R$ 4,440,000.00</w:t>
            </w:r>
          </w:p>
        </w:tc>
      </w:tr>
      <w:tr>
        <w:tc>
          <w:tcPr/>
          <w:p>
            <w:pPr>
              <w:pStyle w:val="Compact"/>
              <w:jc w:val="left"/>
            </w:pPr>
            <w:r>
              <w:t xml:space="preserve">07</w:t>
            </w:r>
          </w:p>
        </w:tc>
        <w:tc>
          <w:tcPr/>
          <w:p>
            <w:pPr>
              <w:pStyle w:val="Compact"/>
              <w:jc w:val="left"/>
            </w:pPr>
            <w:r>
              <w:t xml:space="preserve">Classroom Air Quality and Ergonomic Assessment Kit for secondary school environments in Brazil São Paulo</w:t>
            </w:r>
          </w:p>
        </w:tc>
        <w:tc>
          <w:tcPr/>
          <w:p>
            <w:pPr>
              <w:pStyle w:val="Compact"/>
              <w:jc w:val="left"/>
            </w:pPr>
            <w:r>
              <w:t xml:space="preserve">4,800</w:t>
            </w:r>
          </w:p>
        </w:tc>
        <w:tc>
          <w:tcPr/>
          <w:p>
            <w:pPr>
              <w:pStyle w:val="Compact"/>
              <w:jc w:val="left"/>
            </w:pPr>
            <w:r>
              <w:t xml:space="preserve">Kits</w:t>
            </w:r>
          </w:p>
        </w:tc>
        <w:tc>
          <w:tcPr/>
          <w:p>
            <w:pPr>
              <w:pStyle w:val="Compact"/>
              <w:jc w:val="left"/>
            </w:pPr>
            <w:r>
              <w:t xml:space="preserve">R$ 680.00</w:t>
            </w:r>
          </w:p>
        </w:tc>
        <w:tc>
          <w:tcPr/>
          <w:p>
            <w:pPr>
              <w:pStyle w:val="Compact"/>
              <w:jc w:val="left"/>
            </w:pPr>
            <w:r>
              <w:t xml:space="preserve">R$ 3,264,000.00</w:t>
            </w:r>
          </w:p>
        </w:tc>
      </w:tr>
      <w:tr>
        <w:tc>
          <w:tcPr/>
          <w:p>
            <w:pPr>
              <w:pStyle w:val="Compact"/>
              <w:jc w:val="left"/>
            </w:pPr>
            <w:r>
              <w:t xml:space="preserve">08</w:t>
            </w:r>
          </w:p>
        </w:tc>
        <w:tc>
          <w:tcPr/>
          <w:p>
            <w:pPr>
              <w:pStyle w:val="Compact"/>
              <w:jc w:val="left"/>
            </w:pPr>
            <w:r>
              <w:t xml:space="preserve">Teacher Secondary Digital Resource Library Access (5-year subscription, STEM and arts content, localized for Brazil São Paulo curriculum)</w:t>
            </w:r>
          </w:p>
        </w:tc>
        <w:tc>
          <w:tcPr/>
          <w:p>
            <w:pPr>
              <w:pStyle w:val="Compact"/>
              <w:jc w:val="left"/>
            </w:pPr>
            <w:r>
              <w:t xml:space="preserve">4,800</w:t>
            </w:r>
          </w:p>
        </w:tc>
        <w:tc>
          <w:tcPr/>
          <w:p>
            <w:pPr>
              <w:pStyle w:val="Compact"/>
              <w:jc w:val="left"/>
            </w:pPr>
            <w:r>
              <w:t xml:space="preserve">Schools</w:t>
            </w:r>
          </w:p>
        </w:tc>
        <w:tc>
          <w:tcPr/>
          <w:p>
            <w:pPr>
              <w:pStyle w:val="Compact"/>
              <w:jc w:val="left"/>
            </w:pPr>
            <w:r>
              <w:t xml:space="preserve">R$ 7,200.00</w:t>
            </w:r>
          </w:p>
        </w:tc>
        <w:tc>
          <w:tcPr/>
          <w:p>
            <w:pPr>
              <w:pStyle w:val="Compact"/>
              <w:jc w:val="left"/>
            </w:pPr>
            <w:r>
              <w:t xml:space="preserve">R$ 34,560,000.00</w:t>
            </w:r>
          </w:p>
        </w:tc>
      </w:tr>
    </w:tbl>
    <w:bookmarkEnd w:id="24"/>
    <w:bookmarkStart w:id="25"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(BRL)</w:t>
            </w:r>
          </w:p>
        </w:tc>
      </w:tr>
      <w:tr>
        <w:tc>
          <w:tcPr/>
          <w:p>
            <w:pPr>
              <w:pStyle w:val="Compact"/>
              <w:jc w:val="left"/>
            </w:pPr>
            <w:r>
              <w:t xml:space="preserve">Subtotal (Items 01–08)</w:t>
            </w:r>
          </w:p>
        </w:tc>
        <w:tc>
          <w:tcPr/>
          <w:p>
            <w:pPr>
              <w:pStyle w:val="Compact"/>
              <w:jc w:val="left"/>
            </w:pPr>
            <w:r>
              <w:t xml:space="preserve">R$ 180,324,000.00</w:t>
            </w:r>
          </w:p>
        </w:tc>
      </w:tr>
      <w:tr>
        <w:tc>
          <w:tcPr/>
          <w:p>
            <w:pPr>
              <w:pStyle w:val="Compact"/>
              <w:jc w:val="left"/>
            </w:pPr>
            <w:r>
              <w:t xml:space="preserve">ICMS (18% — São Paulo State Tax)</w:t>
            </w:r>
          </w:p>
        </w:tc>
        <w:tc>
          <w:tcPr/>
          <w:p>
            <w:pPr>
              <w:pStyle w:val="Compact"/>
              <w:jc w:val="left"/>
            </w:pPr>
            <w:r>
              <w:t xml:space="preserve">R$ 32,458,320.00</w:t>
            </w:r>
          </w:p>
        </w:tc>
      </w:tr>
      <w:tr>
        <w:tc>
          <w:tcPr/>
          <w:p>
            <w:pPr>
              <w:pStyle w:val="Compact"/>
              <w:jc w:val="left"/>
            </w:pPr>
            <w:r>
              <w:t xml:space="preserve">Freight and Installation (São Paulo metropolitan delivery)</w:t>
            </w:r>
          </w:p>
        </w:tc>
        <w:tc>
          <w:tcPr/>
          <w:p>
            <w:pPr>
              <w:pStyle w:val="Compact"/>
              <w:jc w:val="left"/>
            </w:pPr>
            <w:r>
              <w:t xml:space="preserve">R$ 2,150,000.00</w:t>
            </w:r>
          </w:p>
        </w:tc>
      </w:tr>
      <w:tr>
        <w:tc>
          <w:tcPr/>
          <w:p>
            <w:pPr>
              <w:pStyle w:val="Compact"/>
              <w:jc w:val="left"/>
            </w:pPr>
            <w:r>
              <w:t xml:space="preserve">Technical Support and Training (first 12 months)</w:t>
            </w:r>
          </w:p>
        </w:tc>
        <w:tc>
          <w:tcPr/>
          <w:p>
            <w:pPr>
              <w:pStyle w:val="Compact"/>
              <w:jc w:val="left"/>
            </w:pPr>
            <w:r>
              <w:t xml:space="preserve">R$ 1,800,000.00</w:t>
            </w:r>
          </w:p>
        </w:tc>
      </w:tr>
      <w:tr>
        <w:tc>
          <w:tcPr/>
          <w:p>
            <w:pPr>
              <w:pStyle w:val="Compact"/>
              <w:jc w:val="left"/>
            </w:pPr>
            <w:r>
              <w:rPr>
                <w:bCs/>
                <w:b/>
              </w:rPr>
              <w:t xml:space="preserve">GRAND TOTAL</w:t>
            </w:r>
          </w:p>
        </w:tc>
        <w:tc>
          <w:tcPr/>
          <w:p>
            <w:pPr>
              <w:pStyle w:val="Compact"/>
              <w:jc w:val="left"/>
            </w:pPr>
            <w:r>
              <w:rPr>
                <w:bCs/>
                <w:b/>
              </w:rPr>
              <w:t xml:space="preserve">R$ 216,732,320.00</w:t>
            </w:r>
          </w:p>
        </w:tc>
      </w:tr>
    </w:tbl>
    <w:bookmarkEnd w:id="25"/>
    <w:bookmarkStart w:id="26" w:name="delivery-and-installation-terms"/>
    <w:p>
      <w:pPr>
        <w:pStyle w:val="Heading2"/>
      </w:pPr>
      <w:r>
        <w:t xml:space="preserve">5. Delivery and Installation Terms</w:t>
      </w:r>
    </w:p>
    <w:p>
      <w:pPr>
        <w:pStyle w:val="FirstParagraph"/>
      </w:pPr>
      <w:r>
        <w:t xml:space="preserve">All physical goods listed in this Purchase Order shall be delivered to the designated receiving warehouses of the São Paulo State Education Department located at the following addresses: (a) Terminal de Cargas Educacionais, Rod. Anhanguera, km 28, São Paulo, SP; and (b) Depósito Central de Material Didático, Av. do Estado, 5.000, São Paulo, SP. The vendor shall ensure that all deliveries are completed no later than</w:t>
      </w:r>
      <w:r>
        <w:t xml:space="preserve"> </w:t>
      </w:r>
      <w:r>
        <w:rPr>
          <w:bCs/>
          <w:b/>
        </w:rPr>
        <w:t xml:space="preserve">30 August 2025</w:t>
      </w:r>
      <w:r>
        <w:t xml:space="preserve"> </w:t>
      </w:r>
      <w:r>
        <w:t xml:space="preserve">to allow for the commencement of the second semester of the 2025 academic year. Installation of digital whiteboards, LMS platforms, and student response systems shall be performed by certified technicians from the vendor and must be completed within 20 business days of physical delivery. All installation activities in Brazil São Paulo must adhere to local labor regulations and the occupational safety standards of the São Paulo State Government.</w:t>
      </w:r>
    </w:p>
    <w:bookmarkEnd w:id="26"/>
    <w:bookmarkStart w:id="27" w:name="payment-terms"/>
    <w:p>
      <w:pPr>
        <w:pStyle w:val="Heading2"/>
      </w:pPr>
      <w:r>
        <w:t xml:space="preserve">6. Payment Terms</w:t>
      </w:r>
    </w:p>
    <w:p>
      <w:pPr>
        <w:pStyle w:val="FirstParagraph"/>
      </w:pPr>
      <w:r>
        <w:t xml:space="preserve">Payment shall be made via bank transfer (TED/DOC) to the vendor's designated account in Brazilian Reais (BRL). The payment schedule is as follows: (a) 30% advance payment upon signing of this Purchase Order; (b) 50% upon confirmed delivery and inspection of all physical goods at the São Paulo receiving facilities; (c) 20% upon successful completion of installation, system integration, and the first round of Teacher Secondary training workshops. Invoices must be issued in accordance with Brazilian tax regulations (Nota Fiscal Eletrônica — NF-e) and submitted to the procurement office at compras.educacao@sp.gov.br. Late payments beyond 30 days from the invoice due date shall accrue interest at the rate established by the Central Bank of Brazil (Selic rate).</w:t>
      </w:r>
    </w:p>
    <w:bookmarkEnd w:id="27"/>
    <w:bookmarkStart w:id="28" w:name="compliance-and-quality-assurance"/>
    <w:p>
      <w:pPr>
        <w:pStyle w:val="Heading2"/>
      </w:pPr>
      <w:r>
        <w:t xml:space="preserve">7. Compliance and Quality Assurance</w:t>
      </w:r>
    </w:p>
    <w:p>
      <w:pPr>
        <w:pStyle w:val="FirstParagraph"/>
      </w:pPr>
      <w:r>
        <w:t xml:space="preserve">The vendor warrants that all materials, software, and services provided under this Purchase Order are specifically designed and certified for use by</w:t>
      </w:r>
      <w:r>
        <w:t xml:space="preserve"> </w:t>
      </w:r>
      <w:r>
        <w:rPr>
          <w:bCs/>
          <w:b/>
        </w:rPr>
        <w:t xml:space="preserve">Teacher Secondary</w:t>
      </w:r>
      <w:r>
        <w:t xml:space="preserve"> </w:t>
      </w:r>
      <w:r>
        <w:t xml:space="preserve">professionals in the Brazilian public education system. All printed materials must be in Portuguese (Brazilian) and aligned with the BNCC. Digital platforms must support accessibility standards (WCAG 2.1 AA) and be fully functional in the Portuguese language. The vendor shall provide a minimum 24-month warranty on all hardware and a 12-month warranty on all software licenses. Any non-conforming items identified during the inspection phase in São Paulo, Brazil, must be replaced or repaired at the vendor's sole expense within 10 business days.</w:t>
      </w:r>
    </w:p>
    <w:bookmarkEnd w:id="28"/>
    <w:bookmarkStart w:id="29" w:name="general-conditions"/>
    <w:p>
      <w:pPr>
        <w:pStyle w:val="Heading2"/>
      </w:pPr>
      <w:r>
        <w:t xml:space="preserve">8. General Conditions</w:t>
      </w:r>
    </w:p>
    <w:p>
      <w:pPr>
        <w:pStyle w:val="FirstParagraph"/>
      </w:pPr>
      <w:r>
        <w:t xml:space="preserve">This Purchase Order is governed by the laws of the Federative Republic of Brazil, particularly Federal Law No. 14.133/2021 (Public Procurement Law) and applicable São Paulo state regulations. Any disputes arising from this Purchase Order shall be resolved in the courts of the city of São Paulo, SP, Brazil. The vendor acknowledges that this Purchase Order is subject to audit by the São Paulo State Comptroller General (Tribunal de Contas do Estado de São Paulo — TCE-SP) and the Federal Comptroller General (Tribunal de Contas da União — TCU). The vendor shall maintain all records related to this Purchase Order for a minimum period of five (5) years from the date of final payment.</w:t>
      </w:r>
    </w:p>
    <w:bookmarkEnd w:id="29"/>
    <w:bookmarkStart w:id="30" w:name="authorization-and-signatures"/>
    <w:p>
      <w:pPr>
        <w:pStyle w:val="Heading2"/>
      </w:pPr>
      <w:r>
        <w:t xml:space="preserve">9. Authorization and Signatures</w:t>
      </w:r>
    </w:p>
    <w:p>
      <w:pPr>
        <w:pStyle w:val="FirstParagraph"/>
      </w:pPr>
      <w:r>
        <w:rPr>
          <w:bCs/>
          <w:b/>
        </w:rPr>
        <w:t xml:space="preserve">For the Issuing Authority</w:t>
      </w:r>
      <w:r>
        <w:br/>
      </w:r>
      <w:r>
        <w:t xml:space="preserve">Secretaria da Educação do Estado de São Paulo</w:t>
      </w:r>
    </w:p>
    <w:p>
      <w:pPr>
        <w:pStyle w:val="BodyText"/>
      </w:pPr>
      <w:r>
        <w:rPr>
          <w:bCs/>
          <w:b/>
        </w:rPr>
        <w:t xml:space="preserve">Dr. Ricardo Almeida Ferreira</w:t>
      </w:r>
      <w:r>
        <w:br/>
      </w:r>
      <w:r>
        <w:t xml:space="preserve">Secretário da Educação</w:t>
      </w:r>
      <w:r>
        <w:br/>
      </w:r>
      <w:r>
        <w:t xml:space="preserve">São Paulo, SP — Brazil</w:t>
      </w:r>
      <w:r>
        <w:br/>
      </w:r>
      <w:r>
        <w:t xml:space="preserve">Date: 14/06/2025</w:t>
      </w:r>
    </w:p>
    <w:p>
      <w:pPr>
        <w:pStyle w:val="BodyText"/>
      </w:pPr>
      <w:r>
        <w:rPr>
          <w:bCs/>
          <w:b/>
        </w:rPr>
        <w:t xml:space="preserve">For the Vendor / Supplier</w:t>
      </w:r>
      <w:r>
        <w:br/>
      </w:r>
      <w:r>
        <w:t xml:space="preserve">EduTech Brasil Comércio e Serviços Educacionais Ltda.</w:t>
      </w:r>
    </w:p>
    <w:p>
      <w:pPr>
        <w:pStyle w:val="BodyText"/>
      </w:pPr>
      <w:r>
        <w:rPr>
          <w:bCs/>
          <w:b/>
        </w:rPr>
        <w:t xml:space="preserve">Maria Helena Santos</w:t>
      </w:r>
      <w:r>
        <w:br/>
      </w:r>
      <w:r>
        <w:t xml:space="preserve">Procurement Manager</w:t>
      </w:r>
      <w:r>
        <w:br/>
      </w:r>
      <w:r>
        <w:t xml:space="preserve">São Paulo, SP — Brazil</w:t>
      </w:r>
      <w:r>
        <w:br/>
      </w:r>
      <w:r>
        <w:t xml:space="preserve">Date: 14/06/2025</w:t>
      </w:r>
    </w:p>
    <w:p>
      <w:pPr>
        <w:pStyle w:val="BodyText"/>
      </w:pPr>
      <w:r>
        <w:t xml:space="preserve">This Purchase Order (PO-SP-2025-04871) is an official document of the State of São Paulo, Brazil. It is issued exclusively for the Teacher Secondary educational supply program. Unauthorized reproduction or modification of this document is prohibited under Brazilian federal law. For inquiries, contact the Procurement Division at compras.educacao@sp.gov.br or +55 (11) 3218-4000. Document reference: CEE-SP/EDU-SEC-2025-SP/PO-04871.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Brazil São Paulo</dc:title>
  <dc:creator/>
  <dc:language>en</dc:language>
  <cp:keywords/>
  <dcterms:created xsi:type="dcterms:W3CDTF">2026-10-10T01:23:46Z</dcterms:created>
  <dcterms:modified xsi:type="dcterms:W3CDTF">2026-10-10T01:23:46Z</dcterms:modified>
</cp:coreProperties>
</file>

<file path=docProps/custom.xml><?xml version="1.0" encoding="utf-8"?>
<Properties xmlns="http://schemas.openxmlformats.org/officeDocument/2006/custom-properties" xmlns:vt="http://schemas.openxmlformats.org/officeDocument/2006/docPropsVTypes"/>
</file>