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Program</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Teacher Secondary Education Program — China Beijing</w:t>
      </w:r>
    </w:p>
    <w:p>
      <w:pPr>
        <w:pStyle w:val="BodyText"/>
      </w:pPr>
      <w:r>
        <w:t xml:space="preserve">Beijing Municipal Education Bureau — Secondary Teacher Development Division</w:t>
      </w:r>
    </w:p>
    <w:bookmarkEnd w:id="20"/>
    <w:p>
      <w:pPr>
        <w:pStyle w:val="BodyText"/>
      </w:pPr>
      <w:r>
        <w:rPr>
          <w:bCs/>
          <w:b/>
        </w:rPr>
        <w:t xml:space="preserve">Purchase Order No.:</w:t>
      </w:r>
      <w:r>
        <w:t xml:space="preserve"> </w:t>
      </w:r>
      <w:r>
        <w:t xml:space="preserve">PO-BJ-2025-TS-04782</w:t>
      </w:r>
      <w:r>
        <w:br/>
      </w:r>
      <w:r>
        <w:rPr>
          <w:bCs/>
          <w:b/>
        </w:rPr>
        <w:t xml:space="preserve">Date of Issue:</w:t>
      </w:r>
      <w:r>
        <w:t xml:space="preserve"> </w:t>
      </w:r>
      <w:r>
        <w:t xml:space="preserve">June 12, 2025</w:t>
      </w:r>
      <w:r>
        <w:br/>
      </w:r>
      <w:r>
        <w:rPr>
          <w:bCs/>
          <w:b/>
        </w:rPr>
        <w:t xml:space="preserve">Valid Until:</w:t>
      </w:r>
      <w:r>
        <w:t xml:space="preserve"> </w:t>
      </w:r>
      <w:r>
        <w:t xml:space="preserve">September 30,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Chinese Yuan (CNY / RMB)</w:t>
      </w:r>
      <w:r>
        <w:br/>
      </w:r>
      <w:r>
        <w:rPr>
          <w:bCs/>
          <w:b/>
        </w:rPr>
        <w:t xml:space="preserve">Incoterms:</w:t>
      </w:r>
      <w:r>
        <w:t xml:space="preserve"> </w:t>
      </w:r>
      <w:r>
        <w:t xml:space="preserve">DDP Beijing</w:t>
      </w:r>
    </w:p>
    <w:p>
      <w:pPr>
        <w:pStyle w:val="BodyText"/>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Beijing Municipal Education Bureau — Teacher Secondary Development Office</w:t>
            </w:r>
          </w:p>
        </w:tc>
      </w:tr>
      <w:tr>
        <w:tc>
          <w:tcPr/>
          <w:p>
            <w:pPr>
              <w:pStyle w:val="Compact"/>
              <w:jc w:val="left"/>
            </w:pPr>
            <w:r>
              <w:t xml:space="preserve">Address</w:t>
            </w:r>
          </w:p>
        </w:tc>
        <w:tc>
          <w:tcPr/>
          <w:p>
            <w:pPr>
              <w:pStyle w:val="Compact"/>
              <w:jc w:val="left"/>
            </w:pPr>
            <w:r>
              <w:t xml:space="preserve">No. 15 Xizhimen South Street, Xicheng District, Beijing, China, 100045</w:t>
            </w:r>
          </w:p>
        </w:tc>
      </w:tr>
      <w:tr>
        <w:tc>
          <w:tcPr/>
          <w:p>
            <w:pPr>
              <w:pStyle w:val="Compact"/>
              <w:jc w:val="left"/>
            </w:pPr>
            <w:r>
              <w:t xml:space="preserve">Contact Person</w:t>
            </w:r>
          </w:p>
        </w:tc>
        <w:tc>
          <w:tcPr/>
          <w:p>
            <w:pPr>
              <w:pStyle w:val="Compact"/>
              <w:jc w:val="left"/>
            </w:pPr>
            <w:r>
              <w:t xml:space="preserve">Dr. Wang Lihua, Director of Secondary Teacher Programs</w:t>
            </w:r>
          </w:p>
        </w:tc>
      </w:tr>
      <w:tr>
        <w:tc>
          <w:tcPr/>
          <w:p>
            <w:pPr>
              <w:pStyle w:val="Compact"/>
              <w:jc w:val="left"/>
            </w:pPr>
            <w:r>
              <w:t xml:space="preserve">Telephone</w:t>
            </w:r>
          </w:p>
        </w:tc>
        <w:tc>
          <w:tcPr/>
          <w:p>
            <w:pPr>
              <w:pStyle w:val="Compact"/>
              <w:jc w:val="left"/>
            </w:pPr>
            <w:r>
              <w:t xml:space="preserve">+86-10-6601-2345</w:t>
            </w:r>
          </w:p>
        </w:tc>
      </w:tr>
      <w:tr>
        <w:tc>
          <w:tcPr/>
          <w:p>
            <w:pPr>
              <w:pStyle w:val="Compact"/>
              <w:jc w:val="left"/>
            </w:pPr>
            <w:r>
              <w:t xml:space="preserve">Email</w:t>
            </w:r>
          </w:p>
        </w:tc>
        <w:tc>
          <w:tcPr/>
          <w:p>
            <w:pPr>
              <w:pStyle w:val="Compact"/>
              <w:jc w:val="left"/>
            </w:pPr>
            <w:r>
              <w:t xml:space="preserve">teacher.secondary@bjedu.gov.cn</w:t>
            </w:r>
          </w:p>
        </w:tc>
      </w:tr>
      <w:tr>
        <w:tc>
          <w:tcPr/>
          <w:p>
            <w:pPr>
              <w:pStyle w:val="Compact"/>
              <w:jc w:val="left"/>
            </w:pPr>
            <w:r>
              <w:t xml:space="preserve">Tax Registration No.</w:t>
            </w:r>
          </w:p>
        </w:tc>
        <w:tc>
          <w:tcPr/>
          <w:p>
            <w:pPr>
              <w:pStyle w:val="Compact"/>
              <w:jc w:val="left"/>
            </w:pPr>
            <w:r>
              <w:t xml:space="preserve">91110000MA01KX7B2P</w:t>
            </w:r>
          </w:p>
        </w:tc>
      </w:tr>
    </w:tbl>
    <w:p>
      <w:pPr>
        <w:pStyle w:val="BodyText"/>
      </w:pPr>
      <w:r>
        <w:t xml:space="preserve">2. Supplier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Beijing Huaxue Educational Resources Co., Ltd.</w:t>
            </w:r>
          </w:p>
        </w:tc>
      </w:tr>
      <w:tr>
        <w:tc>
          <w:tcPr/>
          <w:p>
            <w:pPr>
              <w:pStyle w:val="Compact"/>
              <w:jc w:val="left"/>
            </w:pPr>
            <w:r>
              <w:t xml:space="preserve">Address</w:t>
            </w:r>
          </w:p>
        </w:tc>
        <w:tc>
          <w:tcPr/>
          <w:p>
            <w:pPr>
              <w:pStyle w:val="Compact"/>
              <w:jc w:val="left"/>
            </w:pPr>
            <w:r>
              <w:t xml:space="preserve">Building 7, Zhongguancun Science Park, Haidian District, Beijing, China, 100080</w:t>
            </w:r>
          </w:p>
        </w:tc>
      </w:tr>
      <w:tr>
        <w:tc>
          <w:tcPr/>
          <w:p>
            <w:pPr>
              <w:pStyle w:val="Compact"/>
              <w:jc w:val="left"/>
            </w:pPr>
            <w:r>
              <w:t xml:space="preserve">Contact Person</w:t>
            </w:r>
          </w:p>
        </w:tc>
        <w:tc>
          <w:tcPr/>
          <w:p>
            <w:pPr>
              <w:pStyle w:val="Compact"/>
              <w:jc w:val="left"/>
            </w:pPr>
            <w:r>
              <w:t xml:space="preserve">Mr. Zhang Wei, Sales Director</w:t>
            </w:r>
          </w:p>
        </w:tc>
      </w:tr>
      <w:tr>
        <w:tc>
          <w:tcPr/>
          <w:p>
            <w:pPr>
              <w:pStyle w:val="Compact"/>
              <w:jc w:val="left"/>
            </w:pPr>
            <w:r>
              <w:t xml:space="preserve">Telephone</w:t>
            </w:r>
          </w:p>
        </w:tc>
        <w:tc>
          <w:tcPr/>
          <w:p>
            <w:pPr>
              <w:pStyle w:val="Compact"/>
              <w:jc w:val="left"/>
            </w:pPr>
            <w:r>
              <w:t xml:space="preserve">+86-10-8256-7890</w:t>
            </w:r>
          </w:p>
        </w:tc>
      </w:tr>
      <w:tr>
        <w:tc>
          <w:tcPr/>
          <w:p>
            <w:pPr>
              <w:pStyle w:val="Compact"/>
              <w:jc w:val="left"/>
            </w:pPr>
            <w:r>
              <w:t xml:space="preserve">Email</w:t>
            </w:r>
          </w:p>
        </w:tc>
        <w:tc>
          <w:tcPr/>
          <w:p>
            <w:pPr>
              <w:pStyle w:val="Compact"/>
              <w:jc w:val="left"/>
            </w:pPr>
            <w:r>
              <w:t xml:space="preserve">sales@huaxue-edu.cn</w:t>
            </w:r>
          </w:p>
        </w:tc>
      </w:tr>
      <w:tr>
        <w:tc>
          <w:tcPr/>
          <w:p>
            <w:pPr>
              <w:pStyle w:val="Compact"/>
              <w:jc w:val="left"/>
            </w:pPr>
            <w:r>
              <w:t xml:space="preserve">Bank Account</w:t>
            </w:r>
          </w:p>
        </w:tc>
        <w:tc>
          <w:tcPr/>
          <w:p>
            <w:pPr>
              <w:pStyle w:val="Compact"/>
              <w:jc w:val="left"/>
            </w:pPr>
            <w:r>
              <w:t xml:space="preserve">ICBC Beijing Branch — Account No. 0200 0045 0908 9123 456</w:t>
            </w:r>
          </w:p>
        </w:tc>
      </w:tr>
    </w:tbl>
    <w:p>
      <w:pPr>
        <w:pStyle w:val="BodyText"/>
      </w:pPr>
      <w:r>
        <w:t xml:space="preserve">3. Purchase Order Description &amp; Scope</w:t>
      </w:r>
    </w:p>
    <w:p>
      <w:pPr>
        <w:pStyle w:val="BodyText"/>
      </w:pPr>
      <w:r>
        <w:t xml:space="preserve">This Purchase Order is issued by the Beijing Municipal Education Bureau in support of the</w:t>
      </w:r>
      <w:r>
        <w:t xml:space="preserve"> </w:t>
      </w:r>
      <w:r>
        <w:t xml:space="preserve">Teacher Secondary</w:t>
      </w:r>
      <w:r>
        <w:t xml:space="preserve"> </w:t>
      </w:r>
      <w:r>
        <w:t xml:space="preserve">professional development initiative. The purpose of this Purchase Order is to procure comprehensive educational materials, digital learning platforms, classroom equipment, and professional training resources specifically designed for secondary school teachers operating within the China Beijing metropolitan education system. All items listed below are intended to enhance the pedagogical capabilities of Teacher Secondary staff across 127 secondary schools in the Beijing municipal district, ensuring alignment with the national curriculum standards and the Beijing Municipal Education Reform Plan 2025–2030.</w:t>
      </w:r>
    </w:p>
    <w:p>
      <w:pPr>
        <w:pStyle w:val="BodyText"/>
      </w:pPr>
      <w:r>
        <w:t xml:space="preserve">4.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Teacher Secondary Professional Development Curriculum Kit (Mathematics, Grades 7–12) — Printed and Digital</w:t>
            </w:r>
          </w:p>
        </w:tc>
        <w:tc>
          <w:tcPr/>
          <w:p>
            <w:pPr>
              <w:pStyle w:val="Compact"/>
              <w:jc w:val="left"/>
            </w:pPr>
            <w:r>
              <w:t xml:space="preserve">12,700</w:t>
            </w:r>
          </w:p>
        </w:tc>
        <w:tc>
          <w:tcPr/>
          <w:p>
            <w:pPr>
              <w:pStyle w:val="Compact"/>
              <w:jc w:val="left"/>
            </w:pPr>
            <w:r>
              <w:t xml:space="preserve">Sets</w:t>
            </w:r>
          </w:p>
        </w:tc>
        <w:tc>
          <w:tcPr/>
          <w:p>
            <w:pPr>
              <w:pStyle w:val="Compact"/>
              <w:jc w:val="left"/>
            </w:pPr>
            <w:r>
              <w:t xml:space="preserve">385.00</w:t>
            </w:r>
          </w:p>
        </w:tc>
        <w:tc>
          <w:tcPr/>
          <w:p>
            <w:pPr>
              <w:pStyle w:val="Compact"/>
              <w:jc w:val="left"/>
            </w:pPr>
            <w:r>
              <w:t xml:space="preserve">4,889,500.00</w:t>
            </w:r>
          </w:p>
        </w:tc>
      </w:tr>
      <w:tr>
        <w:tc>
          <w:tcPr/>
          <w:p>
            <w:pPr>
              <w:pStyle w:val="Compact"/>
              <w:jc w:val="left"/>
            </w:pPr>
            <w:r>
              <w:t xml:space="preserve">02</w:t>
            </w:r>
          </w:p>
        </w:tc>
        <w:tc>
          <w:tcPr/>
          <w:p>
            <w:pPr>
              <w:pStyle w:val="Compact"/>
              <w:jc w:val="left"/>
            </w:pPr>
            <w:r>
              <w:t xml:space="preserve">Teacher Secondary Interactive Whiteboard System (86-inch, 4K) with Pedagogical Software License</w:t>
            </w:r>
          </w:p>
        </w:tc>
        <w:tc>
          <w:tcPr/>
          <w:p>
            <w:pPr>
              <w:pStyle w:val="Compact"/>
              <w:jc w:val="left"/>
            </w:pPr>
            <w:r>
              <w:t xml:space="preserve">1,270</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16,256,000.00</w:t>
            </w:r>
          </w:p>
        </w:tc>
      </w:tr>
      <w:tr>
        <w:tc>
          <w:tcPr/>
          <w:p>
            <w:pPr>
              <w:pStyle w:val="Compact"/>
              <w:jc w:val="left"/>
            </w:pPr>
            <w:r>
              <w:t xml:space="preserve">03</w:t>
            </w:r>
          </w:p>
        </w:tc>
        <w:tc>
          <w:tcPr/>
          <w:p>
            <w:pPr>
              <w:pStyle w:val="Compact"/>
              <w:jc w:val="left"/>
            </w:pPr>
            <w:r>
              <w:t xml:space="preserve">Teacher Secondary Online Training Platform Annual Subscription (AI-Powered Lesson Planning Module)</w:t>
            </w:r>
          </w:p>
        </w:tc>
        <w:tc>
          <w:tcPr/>
          <w:p>
            <w:pPr>
              <w:pStyle w:val="Compact"/>
              <w:jc w:val="left"/>
            </w:pPr>
            <w:r>
              <w:t xml:space="preserve">8,500</w:t>
            </w:r>
          </w:p>
        </w:tc>
        <w:tc>
          <w:tcPr/>
          <w:p>
            <w:pPr>
              <w:pStyle w:val="Compact"/>
              <w:jc w:val="left"/>
            </w:pPr>
            <w:r>
              <w:t xml:space="preserve">Accounts</w:t>
            </w:r>
          </w:p>
        </w:tc>
        <w:tc>
          <w:tcPr/>
          <w:p>
            <w:pPr>
              <w:pStyle w:val="Compact"/>
              <w:jc w:val="left"/>
            </w:pPr>
            <w:r>
              <w:t xml:space="preserve">1,200.00</w:t>
            </w:r>
          </w:p>
        </w:tc>
        <w:tc>
          <w:tcPr/>
          <w:p>
            <w:pPr>
              <w:pStyle w:val="Compact"/>
              <w:jc w:val="left"/>
            </w:pPr>
            <w:r>
              <w:t xml:space="preserve">10,200,000.00</w:t>
            </w:r>
          </w:p>
        </w:tc>
      </w:tr>
      <w:tr>
        <w:tc>
          <w:tcPr/>
          <w:p>
            <w:pPr>
              <w:pStyle w:val="Compact"/>
              <w:jc w:val="left"/>
            </w:pPr>
            <w:r>
              <w:t xml:space="preserve">04</w:t>
            </w:r>
          </w:p>
        </w:tc>
        <w:tc>
          <w:tcPr/>
          <w:p>
            <w:pPr>
              <w:pStyle w:val="Compact"/>
              <w:jc w:val="left"/>
            </w:pPr>
            <w:r>
              <w:t xml:space="preserve">Teacher Secondary Classroom Assessment Toolkit (Standardized Testing Materials, China Beijing Edition)</w:t>
            </w:r>
          </w:p>
        </w:tc>
        <w:tc>
          <w:tcPr/>
          <w:p>
            <w:pPr>
              <w:pStyle w:val="Compact"/>
              <w:jc w:val="left"/>
            </w:pPr>
            <w:r>
              <w:t xml:space="preserve">25,400</w:t>
            </w:r>
          </w:p>
        </w:tc>
        <w:tc>
          <w:tcPr/>
          <w:p>
            <w:pPr>
              <w:pStyle w:val="Compact"/>
              <w:jc w:val="left"/>
            </w:pPr>
            <w:r>
              <w:t xml:space="preserve">Sets</w:t>
            </w:r>
          </w:p>
        </w:tc>
        <w:tc>
          <w:tcPr/>
          <w:p>
            <w:pPr>
              <w:pStyle w:val="Compact"/>
              <w:jc w:val="left"/>
            </w:pPr>
            <w:r>
              <w:t xml:space="preserve">156.00</w:t>
            </w:r>
          </w:p>
        </w:tc>
        <w:tc>
          <w:tcPr/>
          <w:p>
            <w:pPr>
              <w:pStyle w:val="Compact"/>
              <w:jc w:val="left"/>
            </w:pPr>
            <w:r>
              <w:t xml:space="preserve">3,962,400.00</w:t>
            </w:r>
          </w:p>
        </w:tc>
      </w:tr>
      <w:tr>
        <w:tc>
          <w:tcPr/>
          <w:p>
            <w:pPr>
              <w:pStyle w:val="Compact"/>
              <w:jc w:val="left"/>
            </w:pPr>
            <w:r>
              <w:t xml:space="preserve">05</w:t>
            </w:r>
          </w:p>
        </w:tc>
        <w:tc>
          <w:tcPr/>
          <w:p>
            <w:pPr>
              <w:pStyle w:val="Compact"/>
              <w:jc w:val="left"/>
            </w:pPr>
            <w:r>
              <w:t xml:space="preserve">Teacher Secondary Professional Certification Workshop Materials (5-Day Intensive, China Beijing Venue)</w:t>
            </w:r>
          </w:p>
        </w:tc>
        <w:tc>
          <w:tcPr/>
          <w:p>
            <w:pPr>
              <w:pStyle w:val="Compact"/>
              <w:jc w:val="left"/>
            </w:pPr>
            <w:r>
              <w:t xml:space="preserve">3,200</w:t>
            </w:r>
          </w:p>
        </w:tc>
        <w:tc>
          <w:tcPr/>
          <w:p>
            <w:pPr>
              <w:pStyle w:val="Compact"/>
              <w:jc w:val="left"/>
            </w:pPr>
            <w:r>
              <w:t xml:space="preserve">Participants</w:t>
            </w:r>
          </w:p>
        </w:tc>
        <w:tc>
          <w:tcPr/>
          <w:p>
            <w:pPr>
              <w:pStyle w:val="Compact"/>
              <w:jc w:val="left"/>
            </w:pPr>
            <w:r>
              <w:t xml:space="preserve">2,450.00</w:t>
            </w:r>
          </w:p>
        </w:tc>
        <w:tc>
          <w:tcPr/>
          <w:p>
            <w:pPr>
              <w:pStyle w:val="Compact"/>
              <w:jc w:val="left"/>
            </w:pPr>
            <w:r>
              <w:t xml:space="preserve">7,840,000.00</w:t>
            </w:r>
          </w:p>
        </w:tc>
      </w:tr>
      <w:tr>
        <w:tc>
          <w:tcPr/>
          <w:p>
            <w:pPr>
              <w:pStyle w:val="Compact"/>
              <w:jc w:val="left"/>
            </w:pPr>
            <w:r>
              <w:t xml:space="preserve">06</w:t>
            </w:r>
          </w:p>
        </w:tc>
        <w:tc>
          <w:tcPr/>
          <w:p>
            <w:pPr>
              <w:pStyle w:val="Compact"/>
              <w:jc w:val="left"/>
            </w:pPr>
            <w:r>
              <w:t xml:space="preserve">Teacher Secondary Bilingual Instruction Resource Pack (Mandarin-English, Secondary Level)</w:t>
            </w:r>
          </w:p>
        </w:tc>
        <w:tc>
          <w:tcPr/>
          <w:p>
            <w:pPr>
              <w:pStyle w:val="Compact"/>
              <w:jc w:val="left"/>
            </w:pPr>
            <w:r>
              <w:t xml:space="preserve">12,700</w:t>
            </w:r>
          </w:p>
        </w:tc>
        <w:tc>
          <w:tcPr/>
          <w:p>
            <w:pPr>
              <w:pStyle w:val="Compact"/>
              <w:jc w:val="left"/>
            </w:pPr>
            <w:r>
              <w:t xml:space="preserve">Sets</w:t>
            </w:r>
          </w:p>
        </w:tc>
        <w:tc>
          <w:tcPr/>
          <w:p>
            <w:pPr>
              <w:pStyle w:val="Compact"/>
              <w:jc w:val="left"/>
            </w:pPr>
            <w:r>
              <w:t xml:space="preserve">298.00</w:t>
            </w:r>
          </w:p>
        </w:tc>
        <w:tc>
          <w:tcPr/>
          <w:p>
            <w:pPr>
              <w:pStyle w:val="Compact"/>
              <w:jc w:val="left"/>
            </w:pPr>
            <w:r>
              <w:t xml:space="preserve">3,784,600.00</w:t>
            </w:r>
          </w:p>
        </w:tc>
      </w:tr>
      <w:tr>
        <w:tc>
          <w:tcPr/>
          <w:p>
            <w:pPr>
              <w:pStyle w:val="Compact"/>
              <w:jc w:val="left"/>
            </w:pPr>
            <w:r>
              <w:t xml:space="preserve">07</w:t>
            </w:r>
          </w:p>
        </w:tc>
        <w:tc>
          <w:tcPr/>
          <w:p>
            <w:pPr>
              <w:pStyle w:val="Compact"/>
              <w:jc w:val="left"/>
            </w:pPr>
            <w:r>
              <w:t xml:space="preserve">Teacher Secondary STEM Laboratory Equipment Bundle (Physics, Chemistry, Biology — China Beijing Standards)</w:t>
            </w:r>
          </w:p>
        </w:tc>
        <w:tc>
          <w:tcPr/>
          <w:p>
            <w:pPr>
              <w:pStyle w:val="Compact"/>
              <w:jc w:val="left"/>
            </w:pPr>
            <w:r>
              <w:t xml:space="preserve">635</w:t>
            </w:r>
          </w:p>
        </w:tc>
        <w:tc>
          <w:tcPr/>
          <w:p>
            <w:pPr>
              <w:pStyle w:val="Compact"/>
              <w:jc w:val="left"/>
            </w:pPr>
            <w:r>
              <w:t xml:space="preserve">Labs</w:t>
            </w:r>
          </w:p>
        </w:tc>
        <w:tc>
          <w:tcPr/>
          <w:p>
            <w:pPr>
              <w:pStyle w:val="Compact"/>
              <w:jc w:val="left"/>
            </w:pPr>
            <w:r>
              <w:t xml:space="preserve">45,000.00</w:t>
            </w:r>
          </w:p>
        </w:tc>
        <w:tc>
          <w:tcPr/>
          <w:p>
            <w:pPr>
              <w:pStyle w:val="Compact"/>
              <w:jc w:val="left"/>
            </w:pPr>
            <w:r>
              <w:t xml:space="preserve">28,575,000.00</w:t>
            </w:r>
          </w:p>
        </w:tc>
      </w:tr>
      <w:tr>
        <w:tc>
          <w:tcPr/>
          <w:p>
            <w:pPr>
              <w:pStyle w:val="Compact"/>
              <w:jc w:val="left"/>
            </w:pPr>
            <w:r>
              <w:t xml:space="preserve">08</w:t>
            </w:r>
          </w:p>
        </w:tc>
        <w:tc>
          <w:tcPr/>
          <w:p>
            <w:pPr>
              <w:pStyle w:val="Compact"/>
              <w:jc w:val="left"/>
            </w:pPr>
            <w:r>
              <w:t xml:space="preserve">Teacher Secondary Student Engagement Analytics Software (Per-School License, 3-Year Term)</w:t>
            </w:r>
          </w:p>
        </w:tc>
        <w:tc>
          <w:tcPr/>
          <w:p>
            <w:pPr>
              <w:pStyle w:val="Compact"/>
              <w:jc w:val="left"/>
            </w:pPr>
            <w:r>
              <w:t xml:space="preserve">127</w:t>
            </w:r>
          </w:p>
        </w:tc>
        <w:tc>
          <w:tcPr/>
          <w:p>
            <w:pPr>
              <w:pStyle w:val="Compact"/>
              <w:jc w:val="left"/>
            </w:pPr>
            <w:r>
              <w:t xml:space="preserve">Schools</w:t>
            </w:r>
          </w:p>
        </w:tc>
        <w:tc>
          <w:tcPr/>
          <w:p>
            <w:pPr>
              <w:pStyle w:val="Compact"/>
              <w:jc w:val="left"/>
            </w:pPr>
            <w:r>
              <w:t xml:space="preserve">18,500.00</w:t>
            </w:r>
          </w:p>
        </w:tc>
        <w:tc>
          <w:tcPr/>
          <w:p>
            <w:pPr>
              <w:pStyle w:val="Compact"/>
              <w:jc w:val="left"/>
            </w:pPr>
            <w:r>
              <w:t xml:space="preserve">2,349,500.00</w:t>
            </w:r>
          </w:p>
        </w:tc>
      </w:tr>
      <w:tr>
        <w:tc>
          <w:tcPr>
            <w:gridSpan w:val="5"/>
          </w:tcPr>
          <w:p>
            <w:pPr>
              <w:pStyle w:val="Compact"/>
              <w:jc w:val="right"/>
            </w:pPr>
            <w:r>
              <w:t xml:space="preserve">SUBTOTAL</w:t>
            </w:r>
          </w:p>
        </w:tc>
        <w:tc>
          <w:tcPr/>
          <w:p>
            <w:pPr>
              <w:pStyle w:val="Compact"/>
              <w:jc w:val="left"/>
            </w:pPr>
            <w:r>
              <w:t xml:space="preserve">77,857,000.00</w:t>
            </w:r>
          </w:p>
        </w:tc>
      </w:tr>
      <w:tr>
        <w:tc>
          <w:tcPr>
            <w:gridSpan w:val="5"/>
          </w:tcPr>
          <w:p>
            <w:pPr>
              <w:pStyle w:val="Compact"/>
              <w:jc w:val="right"/>
            </w:pPr>
            <w:r>
              <w:t xml:space="preserve">VAT (13% — China Beijing Standard Rate)</w:t>
            </w:r>
          </w:p>
        </w:tc>
        <w:tc>
          <w:tcPr/>
          <w:p>
            <w:pPr>
              <w:pStyle w:val="Compact"/>
              <w:jc w:val="left"/>
            </w:pPr>
            <w:r>
              <w:t xml:space="preserve">10,121,410.00</w:t>
            </w:r>
          </w:p>
        </w:tc>
      </w:tr>
      <w:tr>
        <w:tc>
          <w:tcPr>
            <w:gridSpan w:val="5"/>
          </w:tcPr>
          <w:p>
            <w:pPr>
              <w:pStyle w:val="Compact"/>
              <w:jc w:val="right"/>
            </w:pPr>
            <w:r>
              <w:t xml:space="preserve">GRAND TOTAL (CNY)</w:t>
            </w:r>
          </w:p>
        </w:tc>
        <w:tc>
          <w:tcPr/>
          <w:p>
            <w:pPr>
              <w:pStyle w:val="Compact"/>
              <w:jc w:val="left"/>
            </w:pPr>
            <w:r>
              <w:t xml:space="preserve">87,978,410.00</w:t>
            </w:r>
          </w:p>
        </w:tc>
      </w:tr>
    </w:tbl>
    <w:p>
      <w:pPr>
        <w:pStyle w:val="BodyText"/>
      </w:pPr>
      <w:r>
        <w:t xml:space="preserve">5. Delivery and Installation Terms</w:t>
      </w:r>
    </w:p>
    <w:p>
      <w:pPr>
        <w:pStyle w:val="BodyText"/>
      </w:pPr>
      <w:r>
        <w:t xml:space="preserve">All goods and services under this Purchase Order shall be delivered to the designated secondary school locations within the China Beijing municipal area. The supplier, Beijing Huaxue Educational Resources Co., Ltd., is responsible for all logistics, installation, and initial calibration of equipment. The Teacher Secondary program requires phased delivery: Phase 1 (Items 01, 04, 06) by July 15, 2025; Phase 2 (Items 02, 03, 08) by August 20, 2025; and Phase 3 (Items 05, 07) by September 15, 2025. All deliveries must comply with China Beijing municipal transportation regulations and the Beijing Municipal Education Bureau's procurement compliance guidelines.</w:t>
      </w:r>
    </w:p>
    <w:p>
      <w:pPr>
        <w:pStyle w:val="BodyText"/>
      </w:pPr>
      <w:r>
        <w:t xml:space="preserve">6. Terms and Conditions</w:t>
      </w:r>
    </w:p>
    <w:p>
      <w:pPr>
        <w:numPr>
          <w:ilvl w:val="0"/>
          <w:numId w:val="1001"/>
        </w:numPr>
        <w:pStyle w:val="Compact"/>
      </w:pPr>
      <w:r>
        <w:t xml:space="preserve">This Purchase Order constitutes a binding agreement between the Beijing Municipal Education Bureau (Buyer) and Beijing Huaxue Educational Resources Co., Ltd. (Seller) for the procurement of Teacher Secondary program resources within China Beijing.</w:t>
      </w:r>
    </w:p>
    <w:p>
      <w:pPr>
        <w:numPr>
          <w:ilvl w:val="0"/>
          <w:numId w:val="1001"/>
        </w:numPr>
        <w:pStyle w:val="Compact"/>
      </w:pPr>
      <w:r>
        <w:t xml:space="preserve">All items must meet or exceed the quality standards established by the China Beijing Secondary Education Quality Assurance Board. Non-conforming items will be rejected at the Buyer's expense for return and replacement.</w:t>
      </w:r>
    </w:p>
    <w:p>
      <w:pPr>
        <w:numPr>
          <w:ilvl w:val="0"/>
          <w:numId w:val="1001"/>
        </w:numPr>
        <w:pStyle w:val="Compact"/>
      </w:pPr>
      <w:r>
        <w:t xml:space="preserve">The Seller warrants that all Teacher Secondary materials are free from intellectual property infringement and comply with the Copyright Law of the People's Republic of China.</w:t>
      </w:r>
    </w:p>
    <w:p>
      <w:pPr>
        <w:numPr>
          <w:ilvl w:val="0"/>
          <w:numId w:val="1001"/>
        </w:numPr>
        <w:pStyle w:val="Compact"/>
      </w:pPr>
      <w:r>
        <w:t xml:space="preserve">Payment shall be made via bank transfer to the account specified in Section 2 within 45 calendar days of receipt of a valid tax invoice (fapiao) issued in accordance with China Beijing tax regulations.</w:t>
      </w:r>
    </w:p>
    <w:p>
      <w:pPr>
        <w:numPr>
          <w:ilvl w:val="0"/>
          <w:numId w:val="1001"/>
        </w:numPr>
        <w:pStyle w:val="Compact"/>
      </w:pPr>
      <w:r>
        <w:t xml:space="preserve">A retention of 10% of the total Purchase Order value shall be withheld until final acceptance of all Teacher Secondary deliverables, confirmed in writing by the Director of Secondary Teacher Programs.</w:t>
      </w:r>
    </w:p>
    <w:p>
      <w:pPr>
        <w:numPr>
          <w:ilvl w:val="0"/>
          <w:numId w:val="1001"/>
        </w:numPr>
        <w:pStyle w:val="Compact"/>
      </w:pPr>
      <w:r>
        <w:t xml:space="preserve">The Seller shall provide a minimum 3-year warranty on all hardware items and a 1-year warranty on all software and digital platform subscriptions related to the Teacher Secondary program.</w:t>
      </w:r>
    </w:p>
    <w:p>
      <w:pPr>
        <w:numPr>
          <w:ilvl w:val="0"/>
          <w:numId w:val="1001"/>
        </w:numPr>
        <w:pStyle w:val="Compact"/>
      </w:pPr>
      <w:r>
        <w:t xml:space="preserve">Any disputes arising from this Purchase Order shall be resolved through arbitration under the China International Economic and Trade Arbitration Commission (CIETAC) in Beijing, China Beijing.</w:t>
      </w:r>
    </w:p>
    <w:p>
      <w:pPr>
        <w:numPr>
          <w:ilvl w:val="0"/>
          <w:numId w:val="1001"/>
        </w:numPr>
        <w:pStyle w:val="Compact"/>
      </w:pPr>
      <w:r>
        <w:t xml:space="preserve">This Purchase Order is governed by the laws of the People's Republic of China and the specific procurement regulations of the China Beijing municipal government.</w:t>
      </w:r>
    </w:p>
    <w:p>
      <w:pPr>
        <w:numPr>
          <w:ilvl w:val="0"/>
          <w:numId w:val="1001"/>
        </w:numPr>
        <w:pStyle w:val="Compact"/>
      </w:pPr>
      <w:r>
        <w:t xml:space="preserve">The Seller shall maintain full confidentiality regarding the Teacher Secondary program data, student information, and internal curriculum strategies of the Beijing Municipal Education Bureau.</w:t>
      </w:r>
    </w:p>
    <w:p>
      <w:pPr>
        <w:numPr>
          <w:ilvl w:val="0"/>
          <w:numId w:val="1001"/>
        </w:numPr>
        <w:pStyle w:val="Compact"/>
      </w:pPr>
      <w:r>
        <w:t xml:space="preserve">Force majeure events, including but not limited to natural disasters affecting the China Beijing region, shall be addressed per Article 180 of the Civil Code of the People's Republic of China.</w:t>
      </w:r>
    </w:p>
    <w:p>
      <w:pPr>
        <w:pStyle w:val="FirstParagraph"/>
      </w:pPr>
      <w:r>
        <w:t xml:space="preserve">7. Authorization and Signatures</w:t>
      </w:r>
    </w:p>
    <w:p>
      <w:pPr>
        <w:pStyle w:val="BodyText"/>
      </w:pPr>
      <w:r>
        <w:t xml:space="preserve">This Purchase Order is authorized and executed by the undersigned representatives of both parties. By signing below, both parties acknowledge and agree to all terms, conditions, and obligations set forth in this Purchase Order for the Teacher Secondary program in China Beijing.</w:t>
      </w:r>
    </w:p>
    <w:p>
      <w:pPr>
        <w:pStyle w:val="BodyText"/>
      </w:pPr>
      <w:r>
        <w:rPr>
          <w:bCs/>
          <w:b/>
        </w:rPr>
        <w:t xml:space="preserve">For the Buyer:</w:t>
      </w:r>
      <w:r>
        <w:br/>
      </w:r>
      <w:r>
        <w:t xml:space="preserve">Beijing Municipal Education Bureau</w:t>
      </w:r>
    </w:p>
    <w:p>
      <w:pPr>
        <w:pStyle w:val="BodyText"/>
      </w:pPr>
      <w:r>
        <w:t xml:space="preserve">Dr. Wang Lihua</w:t>
      </w:r>
      <w:r>
        <w:br/>
      </w:r>
      <w:r>
        <w:t xml:space="preserve">Director, Teacher Secondary Development Office</w:t>
      </w:r>
      <w:r>
        <w:br/>
      </w:r>
      <w:r>
        <w:t xml:space="preserve">Date: _______________</w:t>
      </w:r>
    </w:p>
    <w:p>
      <w:pPr>
        <w:pStyle w:val="BodyText"/>
      </w:pPr>
      <w:r>
        <w:rPr>
          <w:bCs/>
          <w:b/>
        </w:rPr>
        <w:t xml:space="preserve">For the Seller:</w:t>
      </w:r>
      <w:r>
        <w:br/>
      </w:r>
      <w:r>
        <w:t xml:space="preserve">Beijing Huaxue Educational Resources Co., Ltd.</w:t>
      </w:r>
    </w:p>
    <w:p>
      <w:pPr>
        <w:pStyle w:val="BodyText"/>
      </w:pPr>
      <w:r>
        <w:t xml:space="preserve">Mr. Zhang Wei</w:t>
      </w:r>
      <w:r>
        <w:br/>
      </w:r>
      <w:r>
        <w:t xml:space="preserve">Sales Director</w:t>
      </w:r>
      <w:r>
        <w:br/>
      </w:r>
      <w:r>
        <w:t xml:space="preserve">Date: _______________</w:t>
      </w:r>
    </w:p>
    <w:p>
      <w:pPr>
        <w:pStyle w:val="BodyText"/>
      </w:pPr>
      <w:r>
        <w:t xml:space="preserve">Purchase Order No. PO-BJ-2025-TS-04782 | Teacher Secondary Program | China Beijing | Page 1 of 1</w:t>
      </w:r>
    </w:p>
    <w:p>
      <w:pPr>
        <w:pStyle w:val="BodyText"/>
      </w:pPr>
      <w:r>
        <w:t xml:space="preserve">This document is an official procurement record of the Beijing Municipal Education Bureau. Unauthorized reproduction or distribution is prohibited under China Beijing municipal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Program - China Beijing</dc:title>
  <dc:creator/>
  <dc:language>en</dc:language>
  <cp:keywords/>
  <dcterms:created xsi:type="dcterms:W3CDTF">2026-10-10T06:27:38Z</dcterms:created>
  <dcterms:modified xsi:type="dcterms:W3CDTF">2026-10-10T06:27:38Z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