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Teacher</w:t>
      </w:r>
      <w:r>
        <w:t xml:space="preserve"> </w:t>
      </w:r>
      <w:r>
        <w:t xml:space="preserve">Secondary</w:t>
      </w:r>
      <w:r>
        <w:t xml:space="preserve"> </w:t>
      </w:r>
      <w:r>
        <w:t xml:space="preserve">Program</w:t>
      </w:r>
      <w:r>
        <w:t xml:space="preserve"> </w:t>
      </w:r>
      <w:r>
        <w:t xml:space="preserve">-</w:t>
      </w:r>
      <w:r>
        <w:t xml:space="preserve"> </w:t>
      </w:r>
      <w:r>
        <w:t xml:space="preserve">Egypt</w:t>
      </w:r>
      <w:r>
        <w:t xml:space="preserve"> </w:t>
      </w:r>
      <w:r>
        <w:t xml:space="preserve">Alexandria</w:t>
      </w:r>
    </w:p>
    <w:bookmarkStart w:id="21" w:name="purchase-order"/>
    <w:p>
      <w:pPr>
        <w:pStyle w:val="Heading1"/>
      </w:pPr>
      <w:r>
        <w:t xml:space="preserve">PURCHASE ORDER</w:t>
      </w:r>
    </w:p>
    <w:bookmarkStart w:id="20" w:name="Xbb787a8de3ca57486db7572a9749849f81c32ac"/>
    <w:p>
      <w:pPr>
        <w:pStyle w:val="Heading2"/>
      </w:pPr>
      <w:r>
        <w:t xml:space="preserve">Teacher Secondary Educational Program — Egypt Alexandria</w:t>
      </w:r>
    </w:p>
    <w:p>
      <w:pPr>
        <w:pStyle w:val="FirstParagraph"/>
      </w:pPr>
      <w:r>
        <w:t xml:space="preserve">Alexandria Governorate Directorate of Secondary Education</w:t>
      </w:r>
    </w:p>
    <w:bookmarkEnd w:id="20"/>
    <w:bookmarkEnd w:id="21"/>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No.:</w:t>
            </w:r>
          </w:p>
        </w:tc>
        <w:tc>
          <w:tcPr/>
          <w:p>
            <w:pPr>
              <w:pStyle w:val="Compact"/>
              <w:jc w:val="left"/>
            </w:pPr>
            <w:r>
              <w:t xml:space="preserve">PO-EGY-ALX-2025-04782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30 September 2025</w:t>
            </w:r>
          </w:p>
        </w:tc>
        <w:tc>
          <w:tcPr/>
          <w:p>
            <w:pPr>
              <w:pStyle w:val="Compact"/>
              <w:jc w:val="left"/>
            </w:pPr>
            <w:r>
              <w:t xml:space="preserve">Currency:</w:t>
            </w:r>
          </w:p>
        </w:tc>
        <w:tc>
          <w:tcPr/>
          <w:p>
            <w:pPr>
              <w:pStyle w:val="Compact"/>
              <w:jc w:val="left"/>
            </w:pPr>
            <w:r>
              <w:t xml:space="preserve">Egyptian Pound (EGP)</w:t>
            </w:r>
          </w:p>
        </w:tc>
      </w:tr>
      <w:tr>
        <w:tc>
          <w:tcPr/>
          <w:p>
            <w:pPr>
              <w:pStyle w:val="Compact"/>
              <w:jc w:val="left"/>
            </w:pPr>
            <w:r>
              <w:t xml:space="preserve">Requested By:</w:t>
            </w:r>
          </w:p>
        </w:tc>
        <w:tc>
          <w:tcPr/>
          <w:p>
            <w:pPr>
              <w:pStyle w:val="Compact"/>
              <w:jc w:val="left"/>
            </w:pPr>
            <w:r>
              <w:t xml:space="preserve">Dr. Mahmoud El-Sayed, Director of Teacher Secondary Affairs</w:t>
            </w:r>
          </w:p>
        </w:tc>
        <w:tc>
          <w:tcPr/>
          <w:p>
            <w:pPr>
              <w:pStyle w:val="Compact"/>
              <w:jc w:val="left"/>
            </w:pPr>
            <w:r>
              <w:t xml:space="preserve">Department:</w:t>
            </w:r>
          </w:p>
        </w:tc>
        <w:tc>
          <w:tcPr/>
          <w:p>
            <w:pPr>
              <w:pStyle w:val="Compact"/>
              <w:jc w:val="left"/>
            </w:pPr>
            <w:r>
              <w:t xml:space="preserve">Secondary Education Division, Alexandria</w:t>
            </w:r>
          </w:p>
        </w:tc>
      </w:tr>
      <w:tr>
        <w:tc>
          <w:tcPr/>
          <w:p>
            <w:pPr>
              <w:pStyle w:val="Compact"/>
              <w:jc w:val="left"/>
            </w:pPr>
            <w:r>
              <w:t xml:space="preserve">Vendor / Supplier:</w:t>
            </w:r>
          </w:p>
        </w:tc>
        <w:tc>
          <w:tcPr/>
          <w:p>
            <w:pPr>
              <w:pStyle w:val="Compact"/>
              <w:jc w:val="left"/>
            </w:pPr>
            <w:r>
              <w:t xml:space="preserve">EduTech Solutions MENA S.A.E., 42 Corniche El-Nil, Alexandria, Egypt</w:t>
            </w:r>
          </w:p>
        </w:tc>
        <w:tc>
          <w:tcPr/>
          <w:p>
            <w:pPr>
              <w:pStyle w:val="Compact"/>
              <w:jc w:val="left"/>
            </w:pPr>
            <w:r>
              <w:t xml:space="preserve">Vendor Tax ID:</w:t>
            </w:r>
          </w:p>
        </w:tc>
        <w:tc>
          <w:tcPr/>
          <w:p>
            <w:pPr>
              <w:pStyle w:val="Compact"/>
              <w:jc w:val="left"/>
            </w:pPr>
            <w:r>
              <w:t xml:space="preserve">552-881-3347</w:t>
            </w:r>
          </w:p>
        </w:tc>
      </w:tr>
      <w:tr>
        <w:tc>
          <w:tcPr/>
          <w:p>
            <w:pPr>
              <w:pStyle w:val="Compact"/>
              <w:jc w:val="left"/>
            </w:pPr>
            <w:r>
              <w:t xml:space="preserve">Delivery Address:</w:t>
            </w:r>
          </w:p>
        </w:tc>
        <w:tc>
          <w:tcPr>
            <w:gridSpan w:val="3"/>
          </w:tcPr>
          <w:p>
            <w:pPr>
              <w:pStyle w:val="Compact"/>
              <w:jc w:val="left"/>
            </w:pPr>
            <w:r>
              <w:t xml:space="preserve">Alexandria Secondary Teachers Training Center, 18 El-Montazah Road, Smouha District, Alexandria, Egypt 21543</w:t>
            </w:r>
          </w:p>
        </w:tc>
      </w:tr>
    </w:tbl>
    <w:p>
      <w:pPr>
        <w:pStyle w:val="BodyText"/>
      </w:pPr>
      <w:r>
        <w:t xml:space="preserve">PURCHASE ORDER DESCRIPTION</w:t>
      </w:r>
    </w:p>
    <w:p>
      <w:pPr>
        <w:pStyle w:val="BodyText"/>
      </w:pPr>
      <w:r>
        <w:t xml:space="preserve">This Purchase Order is issued by the Alexandria Governorate Directorate of Secondary Education to procure essential educational materials, digital infrastructure, and professional development resources specifically designated for the</w:t>
      </w:r>
      <w:r>
        <w:t xml:space="preserve"> </w:t>
      </w:r>
      <w:r>
        <w:rPr>
          <w:bCs/>
          <w:b/>
        </w:rPr>
        <w:t xml:space="preserve">Teacher Secondary</w:t>
      </w:r>
      <w:r>
        <w:t xml:space="preserve"> </w:t>
      </w:r>
      <w:r>
        <w:t xml:space="preserve">program operating within Egypt Alexandria. The Teacher Secondary initiative is a government-mandated professional development framework designed to enhance the pedagogical competencies of secondary school educators across all districts of Alexandria, including Smouha, Aboukir, Mit Obra, and the central governorate zones. All items listed in this Purchase Order shall conform to the specifications outlined by the Egyptian Ministry of Education and Technical Education and must be delivered to the designated Alexandria facility prior to the commencement of the academic year 2025/2026.</w:t>
      </w:r>
    </w:p>
    <w:p>
      <w:pPr>
        <w:pStyle w:val="BodyText"/>
      </w:pPr>
      <w:r>
        <w:t xml:space="preserve">LINE ITEMS — TEACHER SECONDARY PROGRAM SUPPLIES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Item Description</w:t>
            </w:r>
          </w:p>
        </w:tc>
        <w:tc>
          <w:tcPr/>
          <w:p>
            <w:pPr>
              <w:pStyle w:val="Compact"/>
              <w:jc w:val="left"/>
            </w:pPr>
            <w:r>
              <w:t xml:space="preserve">Quantity</w:t>
            </w:r>
          </w:p>
        </w:tc>
        <w:tc>
          <w:tcPr/>
          <w:p>
            <w:pPr>
              <w:pStyle w:val="Compact"/>
              <w:jc w:val="left"/>
            </w:pPr>
            <w:r>
              <w:t xml:space="preserve">Unit Price (EGP)</w:t>
            </w:r>
          </w:p>
        </w:tc>
        <w:tc>
          <w:tcPr/>
          <w:p>
            <w:pPr>
              <w:pStyle w:val="Compact"/>
              <w:jc w:val="left"/>
            </w:pPr>
            <w:r>
              <w:t xml:space="preserve">Total (EGP)</w:t>
            </w:r>
          </w:p>
        </w:tc>
        <w:tc>
          <w:tcPr/>
          <w:p>
            <w:pPr>
              <w:pStyle w:val="Compact"/>
              <w:jc w:val="left"/>
            </w:pPr>
            <w:r>
              <w:t xml:space="preserve">Delivery Deadline</w:t>
            </w:r>
          </w:p>
        </w:tc>
      </w:tr>
      <w:tr>
        <w:tc>
          <w:tcPr/>
          <w:p>
            <w:pPr>
              <w:pStyle w:val="Compact"/>
              <w:jc w:val="left"/>
            </w:pPr>
            <w:r>
              <w:t xml:space="preserve">1</w:t>
            </w:r>
          </w:p>
        </w:tc>
        <w:tc>
          <w:tcPr/>
          <w:p>
            <w:pPr>
              <w:pStyle w:val="Compact"/>
              <w:jc w:val="left"/>
            </w:pPr>
            <w:r>
              <w:t xml:space="preserve">Interactive Smart Boards (86-inch) for Teacher Secondary training classrooms, Alexandria Central Campus</w:t>
            </w:r>
          </w:p>
        </w:tc>
        <w:tc>
          <w:tcPr/>
          <w:p>
            <w:pPr>
              <w:pStyle w:val="Compact"/>
              <w:jc w:val="left"/>
            </w:pPr>
            <w:r>
              <w:t xml:space="preserve">24 units</w:t>
            </w:r>
          </w:p>
        </w:tc>
        <w:tc>
          <w:tcPr/>
          <w:p>
            <w:pPr>
              <w:pStyle w:val="Compact"/>
              <w:jc w:val="left"/>
            </w:pPr>
            <w:r>
              <w:t xml:space="preserve">48,500.00</w:t>
            </w:r>
          </w:p>
        </w:tc>
        <w:tc>
          <w:tcPr/>
          <w:p>
            <w:pPr>
              <w:pStyle w:val="Compact"/>
              <w:jc w:val="left"/>
            </w:pPr>
            <w:r>
              <w:t xml:space="preserve">1,164,000.00</w:t>
            </w:r>
          </w:p>
        </w:tc>
        <w:tc>
          <w:tcPr/>
          <w:p>
            <w:pPr>
              <w:pStyle w:val="Compact"/>
              <w:jc w:val="left"/>
            </w:pPr>
            <w:r>
              <w:t xml:space="preserve">20 July 2025</w:t>
            </w:r>
          </w:p>
        </w:tc>
      </w:tr>
      <w:tr>
        <w:tc>
          <w:tcPr/>
          <w:p>
            <w:pPr>
              <w:pStyle w:val="Compact"/>
              <w:jc w:val="left"/>
            </w:pPr>
            <w:r>
              <w:t xml:space="preserve">2</w:t>
            </w:r>
          </w:p>
        </w:tc>
        <w:tc>
          <w:tcPr/>
          <w:p>
            <w:pPr>
              <w:pStyle w:val="Compact"/>
              <w:jc w:val="left"/>
            </w:pPr>
            <w:r>
              <w:t xml:space="preserve">Teacher Secondary Professional Development Curriculum Kits (Arabic &amp; English editions), 2025 edition</w:t>
            </w:r>
          </w:p>
        </w:tc>
        <w:tc>
          <w:tcPr/>
          <w:p>
            <w:pPr>
              <w:pStyle w:val="Compact"/>
              <w:jc w:val="left"/>
            </w:pPr>
            <w:r>
              <w:t xml:space="preserve">1,200 sets</w:t>
            </w:r>
          </w:p>
        </w:tc>
        <w:tc>
          <w:tcPr/>
          <w:p>
            <w:pPr>
              <w:pStyle w:val="Compact"/>
              <w:jc w:val="left"/>
            </w:pPr>
            <w:r>
              <w:t xml:space="preserve">320.00</w:t>
            </w:r>
          </w:p>
        </w:tc>
        <w:tc>
          <w:tcPr/>
          <w:p>
            <w:pPr>
              <w:pStyle w:val="Compact"/>
              <w:jc w:val="left"/>
            </w:pPr>
            <w:r>
              <w:t xml:space="preserve">384,000.00</w:t>
            </w:r>
          </w:p>
        </w:tc>
        <w:tc>
          <w:tcPr/>
          <w:p>
            <w:pPr>
              <w:pStyle w:val="Compact"/>
              <w:jc w:val="left"/>
            </w:pPr>
            <w:r>
              <w:t xml:space="preserve">10 July 2025</w:t>
            </w:r>
          </w:p>
        </w:tc>
      </w:tr>
      <w:tr>
        <w:tc>
          <w:tcPr/>
          <w:p>
            <w:pPr>
              <w:pStyle w:val="Compact"/>
              <w:jc w:val="left"/>
            </w:pPr>
            <w:r>
              <w:t xml:space="preserve">3</w:t>
            </w:r>
          </w:p>
        </w:tc>
        <w:tc>
          <w:tcPr/>
          <w:p>
            <w:pPr>
              <w:pStyle w:val="Compact"/>
              <w:jc w:val="left"/>
            </w:pPr>
            <w:r>
              <w:t xml:space="preserve">Portable Digital Assessment Tablets (10-inch, 64GB) for Teacher Secondary evaluation modules</w:t>
            </w:r>
          </w:p>
        </w:tc>
        <w:tc>
          <w:tcPr/>
          <w:p>
            <w:pPr>
              <w:pStyle w:val="Compact"/>
              <w:jc w:val="left"/>
            </w:pPr>
            <w:r>
              <w:t xml:space="preserve">350 units</w:t>
            </w:r>
          </w:p>
        </w:tc>
        <w:tc>
          <w:tcPr/>
          <w:p>
            <w:pPr>
              <w:pStyle w:val="Compact"/>
              <w:jc w:val="left"/>
            </w:pPr>
            <w:r>
              <w:t xml:space="preserve">7,800.00</w:t>
            </w:r>
          </w:p>
        </w:tc>
        <w:tc>
          <w:tcPr/>
          <w:p>
            <w:pPr>
              <w:pStyle w:val="Compact"/>
              <w:jc w:val="left"/>
            </w:pPr>
            <w:r>
              <w:t xml:space="preserve">2,730,000.00</w:t>
            </w:r>
          </w:p>
        </w:tc>
        <w:tc>
          <w:tcPr/>
          <w:p>
            <w:pPr>
              <w:pStyle w:val="Compact"/>
              <w:jc w:val="left"/>
            </w:pPr>
            <w:r>
              <w:t xml:space="preserve">25 July 2025</w:t>
            </w:r>
          </w:p>
        </w:tc>
      </w:tr>
      <w:tr>
        <w:tc>
          <w:tcPr/>
          <w:p>
            <w:pPr>
              <w:pStyle w:val="Compact"/>
              <w:jc w:val="left"/>
            </w:pPr>
            <w:r>
              <w:t xml:space="preserve">4</w:t>
            </w:r>
          </w:p>
        </w:tc>
        <w:tc>
          <w:tcPr/>
          <w:p>
            <w:pPr>
              <w:pStyle w:val="Compact"/>
              <w:jc w:val="left"/>
            </w:pPr>
            <w:r>
              <w:t xml:space="preserve">Ergonomic Teaching Desks and Chairs for Teacher Secondary workshop rooms, Alexandria Smouha Branch</w:t>
            </w:r>
          </w:p>
        </w:tc>
        <w:tc>
          <w:tcPr/>
          <w:p>
            <w:pPr>
              <w:pStyle w:val="Compact"/>
              <w:jc w:val="left"/>
            </w:pPr>
            <w:r>
              <w:t xml:space="preserve">180 sets</w:t>
            </w:r>
          </w:p>
        </w:tc>
        <w:tc>
          <w:tcPr/>
          <w:p>
            <w:pPr>
              <w:pStyle w:val="Compact"/>
              <w:jc w:val="left"/>
            </w:pPr>
            <w:r>
              <w:t xml:space="preserve">2,450.00</w:t>
            </w:r>
          </w:p>
        </w:tc>
        <w:tc>
          <w:tcPr/>
          <w:p>
            <w:pPr>
              <w:pStyle w:val="Compact"/>
              <w:jc w:val="left"/>
            </w:pPr>
            <w:r>
              <w:t xml:space="preserve">441,000.00</w:t>
            </w:r>
          </w:p>
        </w:tc>
        <w:tc>
          <w:tcPr/>
          <w:p>
            <w:pPr>
              <w:pStyle w:val="Compact"/>
              <w:jc w:val="left"/>
            </w:pPr>
            <w:r>
              <w:t xml:space="preserve">15 August 2025</w:t>
            </w:r>
          </w:p>
        </w:tc>
      </w:tr>
      <w:tr>
        <w:tc>
          <w:tcPr/>
          <w:p>
            <w:pPr>
              <w:pStyle w:val="Compact"/>
              <w:jc w:val="left"/>
            </w:pPr>
            <w:r>
              <w:t xml:space="preserve">5</w:t>
            </w:r>
          </w:p>
        </w:tc>
        <w:tc>
          <w:tcPr/>
          <w:p>
            <w:pPr>
              <w:pStyle w:val="Compact"/>
              <w:jc w:val="left"/>
            </w:pPr>
            <w:r>
              <w:t xml:space="preserve">High-Speed Fiber-Optic Network Installation (200 Mbps) for Teacher Secondary digital learning labs</w:t>
            </w:r>
          </w:p>
        </w:tc>
        <w:tc>
          <w:tcPr/>
          <w:p>
            <w:pPr>
              <w:pStyle w:val="Compact"/>
              <w:jc w:val="left"/>
            </w:pPr>
            <w:r>
              <w:t xml:space="preserve">3 sites</w:t>
            </w:r>
          </w:p>
        </w:tc>
        <w:tc>
          <w:tcPr/>
          <w:p>
            <w:pPr>
              <w:pStyle w:val="Compact"/>
              <w:jc w:val="left"/>
            </w:pPr>
            <w:r>
              <w:t xml:space="preserve">185,000.00</w:t>
            </w:r>
          </w:p>
        </w:tc>
        <w:tc>
          <w:tcPr/>
          <w:p>
            <w:pPr>
              <w:pStyle w:val="Compact"/>
              <w:jc w:val="left"/>
            </w:pPr>
            <w:r>
              <w:t xml:space="preserve">555,000.00</w:t>
            </w:r>
          </w:p>
        </w:tc>
        <w:tc>
          <w:tcPr/>
          <w:p>
            <w:pPr>
              <w:pStyle w:val="Compact"/>
              <w:jc w:val="left"/>
            </w:pPr>
            <w:r>
              <w:t xml:space="preserve">05 August 2025</w:t>
            </w:r>
          </w:p>
        </w:tc>
      </w:tr>
      <w:tr>
        <w:tc>
          <w:tcPr/>
          <w:p>
            <w:pPr>
              <w:pStyle w:val="Compact"/>
              <w:jc w:val="left"/>
            </w:pPr>
            <w:r>
              <w:t xml:space="preserve">6</w:t>
            </w:r>
          </w:p>
        </w:tc>
        <w:tc>
          <w:tcPr/>
          <w:p>
            <w:pPr>
              <w:pStyle w:val="Compact"/>
              <w:jc w:val="left"/>
            </w:pPr>
            <w:r>
              <w:t xml:space="preserve">Teacher Secondary Certification Examination Software Licenses (perpetual, 500-user concurrent)</w:t>
            </w:r>
          </w:p>
        </w:tc>
        <w:tc>
          <w:tcPr/>
          <w:p>
            <w:pPr>
              <w:pStyle w:val="Compact"/>
              <w:jc w:val="left"/>
            </w:pPr>
            <w:r>
              <w:t xml:space="preserve">1 license</w:t>
            </w:r>
          </w:p>
        </w:tc>
        <w:tc>
          <w:tcPr/>
          <w:p>
            <w:pPr>
              <w:pStyle w:val="Compact"/>
              <w:jc w:val="left"/>
            </w:pPr>
            <w:r>
              <w:t xml:space="preserve">960,000.00</w:t>
            </w:r>
          </w:p>
        </w:tc>
        <w:tc>
          <w:tcPr/>
          <w:p>
            <w:pPr>
              <w:pStyle w:val="Compact"/>
              <w:jc w:val="left"/>
            </w:pPr>
            <w:r>
              <w:t xml:space="preserve">960,000.00</w:t>
            </w:r>
          </w:p>
        </w:tc>
        <w:tc>
          <w:tcPr/>
          <w:p>
            <w:pPr>
              <w:pStyle w:val="Compact"/>
              <w:jc w:val="left"/>
            </w:pPr>
            <w:r>
              <w:t xml:space="preserve">01 August 2025</w:t>
            </w:r>
          </w:p>
        </w:tc>
      </w:tr>
      <w:tr>
        <w:tc>
          <w:tcPr/>
          <w:p>
            <w:pPr>
              <w:pStyle w:val="Compact"/>
              <w:jc w:val="left"/>
            </w:pPr>
            <w:r>
              <w:t xml:space="preserve">7</w:t>
            </w:r>
          </w:p>
        </w:tc>
        <w:tc>
          <w:tcPr/>
          <w:p>
            <w:pPr>
              <w:pStyle w:val="Compact"/>
              <w:jc w:val="left"/>
            </w:pPr>
            <w:r>
              <w:t xml:space="preserve">Climate-Controlled HVAC Units for Alexandria coastal training facilities (salt-air resistant)</w:t>
            </w:r>
          </w:p>
        </w:tc>
        <w:tc>
          <w:tcPr/>
          <w:p>
            <w:pPr>
              <w:pStyle w:val="Compact"/>
              <w:jc w:val="left"/>
            </w:pPr>
            <w:r>
              <w:t xml:space="preserve">12 units</w:t>
            </w:r>
          </w:p>
        </w:tc>
        <w:tc>
          <w:tcPr/>
          <w:p>
            <w:pPr>
              <w:pStyle w:val="Compact"/>
              <w:jc w:val="left"/>
            </w:pPr>
            <w:r>
              <w:t xml:space="preserve">32,000.00</w:t>
            </w:r>
          </w:p>
        </w:tc>
        <w:tc>
          <w:tcPr/>
          <w:p>
            <w:pPr>
              <w:pStyle w:val="Compact"/>
              <w:jc w:val="left"/>
            </w:pPr>
            <w:r>
              <w:t xml:space="preserve">384,000.00</w:t>
            </w:r>
          </w:p>
        </w:tc>
        <w:tc>
          <w:tcPr/>
          <w:p>
            <w:pPr>
              <w:pStyle w:val="Compact"/>
              <w:jc w:val="left"/>
            </w:pPr>
            <w:r>
              <w:t xml:space="preserve">20 August 2025</w:t>
            </w:r>
          </w:p>
        </w:tc>
      </w:tr>
      <w:tr>
        <w:tc>
          <w:tcPr/>
          <w:p>
            <w:pPr>
              <w:pStyle w:val="Compact"/>
              <w:jc w:val="left"/>
            </w:pPr>
            <w:r>
              <w:t xml:space="preserve">8</w:t>
            </w:r>
          </w:p>
        </w:tc>
        <w:tc>
          <w:tcPr/>
          <w:p>
            <w:pPr>
              <w:pStyle w:val="Compact"/>
              <w:jc w:val="left"/>
            </w:pPr>
            <w:r>
              <w:t xml:space="preserve">Teacher Secondary Mentorship Program Printed Materials (handbooks, assessment rubrics, lesson plan templates)</w:t>
            </w:r>
          </w:p>
        </w:tc>
        <w:tc>
          <w:tcPr/>
          <w:p>
            <w:pPr>
              <w:pStyle w:val="Compact"/>
              <w:jc w:val="left"/>
            </w:pPr>
            <w:r>
              <w:t xml:space="preserve">2,500 copies</w:t>
            </w:r>
          </w:p>
        </w:tc>
        <w:tc>
          <w:tcPr/>
          <w:p>
            <w:pPr>
              <w:pStyle w:val="Compact"/>
              <w:jc w:val="left"/>
            </w:pPr>
            <w:r>
              <w:t xml:space="preserve">85.00</w:t>
            </w:r>
          </w:p>
        </w:tc>
        <w:tc>
          <w:tcPr/>
          <w:p>
            <w:pPr>
              <w:pStyle w:val="Compact"/>
              <w:jc w:val="left"/>
            </w:pPr>
            <w:r>
              <w:t xml:space="preserve">212,500.00</w:t>
            </w:r>
          </w:p>
        </w:tc>
        <w:tc>
          <w:tcPr/>
          <w:p>
            <w:pPr>
              <w:pStyle w:val="Compact"/>
              <w:jc w:val="left"/>
            </w:pPr>
            <w:r>
              <w:t xml:space="preserve">10 July 2025</w:t>
            </w:r>
          </w:p>
        </w:tc>
      </w:tr>
      <w:tr>
        <w:tc>
          <w:tcPr>
            <w:gridSpan w:val="4"/>
          </w:tcPr>
          <w:p>
            <w:pPr>
              <w:pStyle w:val="Compact"/>
              <w:jc w:val="right"/>
            </w:pPr>
            <w:r>
              <w:t xml:space="preserve">SUBTOTAL:</w:t>
            </w:r>
          </w:p>
        </w:tc>
        <w:tc>
          <w:tcPr/>
          <w:p>
            <w:pPr>
              <w:pStyle w:val="Compact"/>
              <w:jc w:val="left"/>
            </w:pPr>
            <w:r>
              <w:t xml:space="preserve">6,830,500.00</w:t>
            </w:r>
          </w:p>
        </w:tc>
        <w:tc>
          <w:tcPr/>
          <w:p>
            <w:pPr>
              <w:pStyle w:val="Compact"/>
            </w:pPr>
          </w:p>
        </w:tc>
      </w:tr>
      <w:tr>
        <w:tc>
          <w:tcPr>
            <w:gridSpan w:val="4"/>
          </w:tcPr>
          <w:p>
            <w:pPr>
              <w:pStyle w:val="Compact"/>
              <w:jc w:val="right"/>
            </w:pPr>
            <w:r>
              <w:t xml:space="preserve">VAT (14%):</w:t>
            </w:r>
          </w:p>
        </w:tc>
        <w:tc>
          <w:tcPr/>
          <w:p>
            <w:pPr>
              <w:pStyle w:val="Compact"/>
              <w:jc w:val="left"/>
            </w:pPr>
            <w:r>
              <w:t xml:space="preserve">956,270.00</w:t>
            </w:r>
          </w:p>
        </w:tc>
        <w:tc>
          <w:tcPr/>
          <w:p>
            <w:pPr>
              <w:pStyle w:val="Compact"/>
            </w:pPr>
          </w:p>
        </w:tc>
      </w:tr>
      <w:tr>
        <w:tc>
          <w:tcPr>
            <w:gridSpan w:val="4"/>
          </w:tcPr>
          <w:p>
            <w:pPr>
              <w:pStyle w:val="Compact"/>
              <w:jc w:val="right"/>
            </w:pPr>
            <w:r>
              <w:t xml:space="preserve">GRAND TOTAL (EGP):</w:t>
            </w:r>
          </w:p>
        </w:tc>
        <w:tc>
          <w:tcPr/>
          <w:p>
            <w:pPr>
              <w:pStyle w:val="Compact"/>
              <w:jc w:val="left"/>
            </w:pPr>
            <w:r>
              <w:t xml:space="preserve">7,786,770.00</w:t>
            </w:r>
          </w:p>
        </w:tc>
        <w:tc>
          <w:tcPr/>
          <w:p>
            <w:pPr>
              <w:pStyle w:val="Compact"/>
            </w:pPr>
          </w:p>
        </w:tc>
      </w:tr>
    </w:tbl>
    <w:p>
      <w:pPr>
        <w:pStyle w:val="BodyText"/>
      </w:pPr>
      <w:r>
        <w:t xml:space="preserve">TERMS AND CONDITIONS</w:t>
      </w:r>
    </w:p>
    <w:p>
      <w:pPr>
        <w:numPr>
          <w:ilvl w:val="0"/>
          <w:numId w:val="1001"/>
        </w:numPr>
        <w:pStyle w:val="Compact"/>
      </w:pPr>
      <w:r>
        <w:rPr>
          <w:bCs/>
          <w:b/>
        </w:rPr>
        <w:t xml:space="preserve">Scope of Work:</w:t>
      </w:r>
      <w:r>
        <w:t xml:space="preserve"> </w:t>
      </w:r>
      <w:r>
        <w:t xml:space="preserve">The vendor shall supply, deliver, install, and commission all items listed in this Purchase Order exclusively for the Teacher Secondary program facilities located in Egypt Alexandria. All equipment must be new, unused, and carry a minimum manufacturer warranty of three (3) years.</w:t>
      </w:r>
    </w:p>
    <w:p>
      <w:pPr>
        <w:numPr>
          <w:ilvl w:val="0"/>
          <w:numId w:val="1001"/>
        </w:numPr>
        <w:pStyle w:val="Compact"/>
      </w:pPr>
      <w:r>
        <w:rPr>
          <w:bCs/>
          <w:b/>
        </w:rPr>
        <w:t xml:space="preserve">Delivery:</w:t>
      </w:r>
      <w:r>
        <w:t xml:space="preserve"> </w:t>
      </w:r>
      <w:r>
        <w:t xml:space="preserve">All deliveries shall be made to the Alexandria Secondary Teachers Training Center at the address specified above. The vendor is responsible for all transportation, insurance, and customs clearance (if applicable) within the Alexandria Governorate. Delivery windows are non-negotiable due to the fixed academic calendar of the Teacher Secondary program in Egypt Alexandria.</w:t>
      </w:r>
    </w:p>
    <w:p>
      <w:pPr>
        <w:numPr>
          <w:ilvl w:val="0"/>
          <w:numId w:val="1001"/>
        </w:numPr>
        <w:pStyle w:val="Compact"/>
      </w:pPr>
      <w:r>
        <w:rPr>
          <w:bCs/>
          <w:b/>
        </w:rPr>
        <w:t xml:space="preserve">Payment Terms:</w:t>
      </w:r>
      <w:r>
        <w:t xml:space="preserve"> </w:t>
      </w:r>
      <w:r>
        <w:t xml:space="preserve">Payment shall be made in three installments: 30% upon signing of this Purchase Order, 50% upon verified delivery and installation of all physical goods, and 20% upon successful completion of a 30-day performance warranty period. Payment shall be processed via bank transfer to the vendor's registered account in Egypt Alexandria.</w:t>
      </w:r>
    </w:p>
    <w:p>
      <w:pPr>
        <w:numPr>
          <w:ilvl w:val="0"/>
          <w:numId w:val="1001"/>
        </w:numPr>
        <w:pStyle w:val="Compact"/>
      </w:pPr>
      <w:r>
        <w:rPr>
          <w:bCs/>
          <w:b/>
        </w:rPr>
        <w:t xml:space="preserve">Quality Assurance:</w:t>
      </w:r>
      <w:r>
        <w:t xml:space="preserve"> </w:t>
      </w:r>
      <w:r>
        <w:t xml:space="preserve">All Teacher Secondary curriculum materials must be pre-approved by the Alexandria Regional Curriculum Committee. Digital hardware must pass a 72-hour stress test upon arrival before acceptance. Non-conforming items will be rejected at the vendor's expense.</w:t>
      </w:r>
    </w:p>
    <w:p>
      <w:pPr>
        <w:numPr>
          <w:ilvl w:val="0"/>
          <w:numId w:val="1001"/>
        </w:numPr>
        <w:pStyle w:val="Compact"/>
      </w:pPr>
      <w:r>
        <w:rPr>
          <w:bCs/>
          <w:b/>
        </w:rPr>
        <w:t xml:space="preserve">Compliance:</w:t>
      </w:r>
      <w:r>
        <w:t xml:space="preserve"> </w:t>
      </w:r>
      <w:r>
        <w:t xml:space="preserve">This Purchase Order is governed by the laws of the Arab Republic of Egypt. Any disputes arising from this Purchase Order related to the Teacher Secondary program in Egypt Alexandria shall be resolved through the Alexandria Commercial Court.</w:t>
      </w:r>
    </w:p>
    <w:p>
      <w:pPr>
        <w:numPr>
          <w:ilvl w:val="0"/>
          <w:numId w:val="1001"/>
        </w:numPr>
        <w:pStyle w:val="Compact"/>
      </w:pPr>
      <w:r>
        <w:rPr>
          <w:bCs/>
          <w:b/>
        </w:rPr>
        <w:t xml:space="preserve">Warranty and Support:</w:t>
      </w:r>
      <w:r>
        <w:t xml:space="preserve"> </w:t>
      </w:r>
      <w:r>
        <w:t xml:space="preserve">The vendor shall provide on-site technical support in Alexandria for a minimum of twelve (12) months following final delivery. Response time for critical failures affecting Teacher Secondary training sessions shall not exceed four (4) business hours.</w:t>
      </w:r>
    </w:p>
    <w:p>
      <w:pPr>
        <w:numPr>
          <w:ilvl w:val="0"/>
          <w:numId w:val="1001"/>
        </w:numPr>
        <w:pStyle w:val="Compact"/>
      </w:pPr>
      <w:r>
        <w:rPr>
          <w:bCs/>
          <w:b/>
        </w:rPr>
        <w:t xml:space="preserve">Confidentiality:</w:t>
      </w:r>
      <w:r>
        <w:t xml:space="preserve"> </w:t>
      </w:r>
      <w:r>
        <w:t xml:space="preserve">All data related to Teacher Secondary teacher assessments, student performance records, and program methodologies processed through equipment supplied under this Purchase Order shall remain the exclusive property of the Alexandria Directorate of Secondary Education.</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affecting the Egypt Alexandria coastal region, government-mandated closures, or supply chain disruptions.</w:t>
      </w:r>
    </w:p>
    <w:p>
      <w:pPr>
        <w:pStyle w:val="FirstParagraph"/>
      </w:pPr>
      <w:r>
        <w:rPr>
          <w:bCs/>
          <w:b/>
        </w:rPr>
        <w:t xml:space="preserve">IMPORTANT NOTE:</w:t>
      </w:r>
      <w:r>
        <w:t xml:space="preserve"> </w:t>
      </w:r>
      <w:r>
        <w:t xml:space="preserve">This Purchase Order is part of the 2025/2026 national Teacher Secondary professional development cycle. All procurement activities must be completed and documented in accordance with Egyptian Government Procurement Law No. 182 of 2018. The Alexandria Governorate Education Office reserves the right to audit all expenditures associated with this Purchase Order. The Teacher Secondary program in Egypt Alexandria serves approximately 4,200 secondary-level educators across 187 public and private secondary schools in the governorate.</w:t>
      </w:r>
    </w:p>
    <w:p>
      <w:pPr>
        <w:pStyle w:val="BodyText"/>
      </w:pPr>
      <w:r>
        <w:t xml:space="preserve">APPROVAL AND AUTHORIZATION</w:t>
      </w:r>
    </w:p>
    <w:p>
      <w:pPr>
        <w:pStyle w:val="BodyText"/>
      </w:pPr>
      <w:r>
        <w:t xml:space="preserve">This Purchase Order is authorized and approved for execution by the undersigned officials of the Alexandria Governorate Directorate of Secondary Education. The Teacher Secondary program budget allocation for fiscal year 2025/2026 has been verified and confirmed sufficient to cover the total amount stated herein.</w:t>
      </w:r>
    </w:p>
    <w:p>
      <w:pPr>
        <w:pStyle w:val="BodyText"/>
      </w:pPr>
      <w:r>
        <w:rPr>
          <w:bCs/>
          <w:b/>
        </w:rPr>
        <w:t xml:space="preserve">Prepared By:</w:t>
      </w:r>
    </w:p>
    <w:p>
      <w:pPr>
        <w:pStyle w:val="BodyText"/>
      </w:pPr>
      <w:r>
        <w:t xml:space="preserve">Dr. Mahmoud El-Sayed</w:t>
      </w:r>
    </w:p>
    <w:p>
      <w:pPr>
        <w:pStyle w:val="BodyText"/>
      </w:pPr>
      <w:r>
        <w:t xml:space="preserve">Director, Teacher Secondary Affairs</w:t>
      </w:r>
    </w:p>
    <w:p>
      <w:pPr>
        <w:pStyle w:val="BodyText"/>
      </w:pPr>
      <w:r>
        <w:t xml:space="preserve">Alexandria Governorate Education Office</w:t>
      </w:r>
    </w:p>
    <w:p>
      <w:pPr>
        <w:pStyle w:val="BodyText"/>
      </w:pPr>
      <w:r>
        <w:t xml:space="preserve">Signature: _________________________</w:t>
      </w:r>
    </w:p>
    <w:p>
      <w:pPr>
        <w:pStyle w:val="BodyText"/>
      </w:pPr>
      <w:r>
        <w:t xml:space="preserve">Date: 15 June 2025</w:t>
      </w:r>
    </w:p>
    <w:p>
      <w:pPr>
        <w:pStyle w:val="BodyText"/>
      </w:pPr>
      <w:r>
        <w:rPr>
          <w:bCs/>
          <w:b/>
        </w:rPr>
        <w:t xml:space="preserve">Approved By:</w:t>
      </w:r>
    </w:p>
    <w:p>
      <w:pPr>
        <w:pStyle w:val="BodyText"/>
      </w:pPr>
      <w:r>
        <w:t xml:space="preserve">Eng. Fatma Al-Amin</w:t>
      </w:r>
    </w:p>
    <w:p>
      <w:pPr>
        <w:pStyle w:val="BodyText"/>
      </w:pPr>
      <w:r>
        <w:t xml:space="preserve">Chief Financial Officer</w:t>
      </w:r>
    </w:p>
    <w:p>
      <w:pPr>
        <w:pStyle w:val="BodyText"/>
      </w:pPr>
      <w:r>
        <w:t xml:space="preserve">Alexandria Governorate Education Office</w:t>
      </w:r>
    </w:p>
    <w:p>
      <w:pPr>
        <w:pStyle w:val="BodyText"/>
      </w:pPr>
      <w:r>
        <w:t xml:space="preserve">Signature: _________________________</w:t>
      </w:r>
    </w:p>
    <w:p>
      <w:pPr>
        <w:pStyle w:val="BodyText"/>
      </w:pPr>
      <w:r>
        <w:t xml:space="preserve">Date: 15 June 2025</w:t>
      </w:r>
    </w:p>
    <w:p>
      <w:pPr>
        <w:pStyle w:val="BodyText"/>
      </w:pPr>
      <w:r>
        <w:rPr>
          <w:bCs/>
          <w:b/>
        </w:rPr>
        <w:t xml:space="preserve">Vendor Acknowledgment:</w:t>
      </w:r>
    </w:p>
    <w:p>
      <w:pPr>
        <w:pStyle w:val="BodyText"/>
      </w:pPr>
      <w:r>
        <w:t xml:space="preserve">EduTech Solutions MENA S.A.E.</w:t>
      </w:r>
    </w:p>
    <w:p>
      <w:pPr>
        <w:pStyle w:val="BodyText"/>
      </w:pPr>
      <w:r>
        <w:t xml:space="preserve">Authorized Representative</w:t>
      </w:r>
    </w:p>
    <w:p>
      <w:pPr>
        <w:pStyle w:val="BodyText"/>
      </w:pPr>
      <w:r>
        <w:t xml:space="preserve">Alexandria, Egypt</w:t>
      </w:r>
    </w:p>
    <w:p>
      <w:pPr>
        <w:pStyle w:val="BodyText"/>
      </w:pPr>
      <w:r>
        <w:t xml:space="preserve">Signature: _________________________</w:t>
      </w:r>
    </w:p>
    <w:p>
      <w:pPr>
        <w:pStyle w:val="BodyText"/>
      </w:pPr>
      <w:r>
        <w:t xml:space="preserve">Date: _______________</w:t>
      </w:r>
    </w:p>
    <w:p>
      <w:pPr>
        <w:pStyle w:val="BodyText"/>
      </w:pPr>
      <w:r>
        <w:rPr>
          <w:bCs/>
          <w:b/>
        </w:rPr>
        <w:t xml:space="preserve">Final Authorization:</w:t>
      </w:r>
    </w:p>
    <w:p>
      <w:pPr>
        <w:pStyle w:val="BodyText"/>
      </w:pPr>
      <w:r>
        <w:t xml:space="preserve">Prof. Khaled Mansour</w:t>
      </w:r>
    </w:p>
    <w:p>
      <w:pPr>
        <w:pStyle w:val="BodyText"/>
      </w:pPr>
      <w:r>
        <w:t xml:space="preserve">Governor's Representative for Education</w:t>
      </w:r>
    </w:p>
    <w:p>
      <w:pPr>
        <w:pStyle w:val="BodyText"/>
      </w:pPr>
      <w:r>
        <w:t xml:space="preserve">Alexandria Governorate, Egypt</w:t>
      </w:r>
    </w:p>
    <w:p>
      <w:pPr>
        <w:pStyle w:val="BodyText"/>
      </w:pPr>
      <w:r>
        <w:t xml:space="preserve">Signature: _________________________</w:t>
      </w:r>
    </w:p>
    <w:p>
      <w:pPr>
        <w:pStyle w:val="BodyText"/>
      </w:pPr>
      <w:r>
        <w:t xml:space="preserve">Date: _______________</w:t>
      </w:r>
    </w:p>
    <w:p>
      <w:pPr>
        <w:pStyle w:val="BodyText"/>
      </w:pPr>
      <w:r>
        <w:t xml:space="preserve">Purchase Order No. PO-EGY-ALX-2025-04782 | Teacher Secondary Program | Egypt Alexandria</w:t>
      </w:r>
    </w:p>
    <w:p>
      <w:pPr>
        <w:pStyle w:val="BodyText"/>
      </w:pPr>
      <w:r>
        <w:t xml:space="preserve">Alexandria Governorate Directorate of Secondary Education | 18 El-Montazah Road, Smouha, Alexandria 21543, Egypt</w:t>
      </w:r>
    </w:p>
    <w:p>
      <w:pPr>
        <w:pStyle w:val="BodyText"/>
      </w:pPr>
      <w:r>
        <w:t xml:space="preserve">This document is electronically generated and valid without physical stamp. For inquiries, contact the Teacher Secondary Procurement Unit at procurement.teachersec@alex-edu.gov.eg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Teacher Secondary Program - Egypt Alexandria</dc:title>
  <dc:creator/>
  <dc:language>en</dc:language>
  <cp:keywords/>
  <dcterms:created xsi:type="dcterms:W3CDTF">2026-10-10T03:47:16Z</dcterms:created>
  <dcterms:modified xsi:type="dcterms:W3CDTF">2026-10-10T03:47:16Z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