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Ghana</w:t>
      </w:r>
      <w:r>
        <w:t xml:space="preserve"> </w:t>
      </w:r>
      <w:r>
        <w:t xml:space="preserve">Accra</w:t>
      </w:r>
    </w:p>
    <w:bookmarkStart w:id="21" w:name="purchase-order"/>
    <w:p>
      <w:pPr>
        <w:pStyle w:val="Heading1"/>
      </w:pPr>
      <w:r>
        <w:t xml:space="preserve">PURCHASE ORDER</w:t>
      </w:r>
    </w:p>
    <w:bookmarkStart w:id="20" w:name="Xed19d568e365417249493577a2148c11f09c8e9"/>
    <w:p>
      <w:pPr>
        <w:pStyle w:val="Heading2"/>
      </w:pPr>
      <w:r>
        <w:t xml:space="preserve">Teacher Secondary Education Programme – Ghana Accra</w:t>
      </w:r>
    </w:p>
    <w:p>
      <w:pPr>
        <w:pStyle w:val="FirstParagraph"/>
      </w:pPr>
      <w:r>
        <w:t xml:space="preserve">PO No: GHA-ACC-TS-2025-0047</w:t>
      </w:r>
    </w:p>
    <w:p>
      <w:pPr>
        <w:pStyle w:val="BodyText"/>
      </w:pPr>
      <w:r>
        <w:t xml:space="preserve">Date of Issue: 15 June 2025</w:t>
      </w:r>
    </w:p>
    <w:p>
      <w:pPr>
        <w:pStyle w:val="BodyText"/>
      </w:pPr>
      <w:r>
        <w:t xml:space="preserve">Valid Until: 15 September 2025</w:t>
      </w:r>
    </w:p>
    <w:bookmarkEnd w:id="20"/>
    <w:bookmarkEnd w:id="21"/>
    <w:bookmarkStart w:id="24" w:name="parties-to-this-purchase-order"/>
    <w:p>
      <w:pPr>
        <w:pStyle w:val="Heading3"/>
      </w:pPr>
      <w:r>
        <w:t xml:space="preserve">1. Parties to This Purchase Order</w:t>
      </w:r>
    </w:p>
    <w:bookmarkStart w:id="22" w:name="purchasing-authority-buyer"/>
    <w:p>
      <w:pPr>
        <w:pStyle w:val="Heading4"/>
      </w:pPr>
      <w:r>
        <w:t xml:space="preserve">Purchasing Authority (Buyer)</w:t>
      </w:r>
    </w:p>
    <w:p>
      <w:pPr>
        <w:pStyle w:val="FirstParagraph"/>
      </w:pPr>
      <w:r>
        <w:rPr>
          <w:bCs/>
          <w:b/>
        </w:rPr>
        <w:t xml:space="preserve">Ministry of Education – Ghana Accra Region</w:t>
      </w:r>
    </w:p>
    <w:p>
      <w:pPr>
        <w:pStyle w:val="BodyText"/>
      </w:pPr>
      <w:r>
        <w:t xml:space="preserve">Office of the Director of Secondary Education</w:t>
      </w:r>
    </w:p>
    <w:p>
      <w:pPr>
        <w:pStyle w:val="BodyText"/>
      </w:pPr>
      <w:r>
        <w:t xml:space="preserve">12 Independence Avenue, Ridge</w:t>
      </w:r>
    </w:p>
    <w:p>
      <w:pPr>
        <w:pStyle w:val="BodyText"/>
      </w:pPr>
      <w:r>
        <w:t xml:space="preserve">Ghana Accra, Ghana</w:t>
      </w:r>
    </w:p>
    <w:p>
      <w:pPr>
        <w:pStyle w:val="BodyText"/>
      </w:pPr>
      <w:r>
        <w:t xml:space="preserve">Tel: +233-30-277-4501</w:t>
      </w:r>
    </w:p>
    <w:p>
      <w:pPr>
        <w:pStyle w:val="BodyText"/>
      </w:pPr>
      <w:r>
        <w:t xml:space="preserve">Email: secondary.education@moeg.gov.gh</w:t>
      </w:r>
    </w:p>
    <w:bookmarkEnd w:id="22"/>
    <w:bookmarkStart w:id="23" w:name="supplier-seller"/>
    <w:p>
      <w:pPr>
        <w:pStyle w:val="Heading4"/>
      </w:pPr>
      <w:r>
        <w:t xml:space="preserve">Supplier (Seller)</w:t>
      </w:r>
    </w:p>
    <w:p>
      <w:pPr>
        <w:pStyle w:val="FirstParagraph"/>
      </w:pPr>
      <w:r>
        <w:rPr>
          <w:bCs/>
          <w:b/>
        </w:rPr>
        <w:t xml:space="preserve">Accra Educational Supplies &amp; Resources Ltd.</w:t>
      </w:r>
    </w:p>
    <w:p>
      <w:pPr>
        <w:pStyle w:val="BodyText"/>
      </w:pPr>
      <w:r>
        <w:t xml:space="preserve">Registered Business No: GR-2019-44871</w:t>
      </w:r>
    </w:p>
    <w:p>
      <w:pPr>
        <w:pStyle w:val="BodyText"/>
      </w:pPr>
      <w:r>
        <w:t xml:space="preserve">Unit 7, Accra Central Business District</w:t>
      </w:r>
    </w:p>
    <w:p>
      <w:pPr>
        <w:pStyle w:val="BodyText"/>
      </w:pPr>
      <w:r>
        <w:t xml:space="preserve">Ghana Accra, Ghana</w:t>
      </w:r>
    </w:p>
    <w:p>
      <w:pPr>
        <w:pStyle w:val="BodyText"/>
      </w:pPr>
      <w:r>
        <w:t xml:space="preserve">Tel: +233-30-222-8890</w:t>
      </w:r>
    </w:p>
    <w:p>
      <w:pPr>
        <w:pStyle w:val="BodyText"/>
      </w:pPr>
      <w:r>
        <w:t xml:space="preserve">Email: sales@accraedusupplies.com.gh</w:t>
      </w:r>
    </w:p>
    <w:bookmarkEnd w:id="23"/>
    <w:bookmarkEnd w:id="24"/>
    <w:bookmarkStart w:id="25" w:name="purpose-and-scope-of-this-purchase-order"/>
    <w:p>
      <w:pPr>
        <w:pStyle w:val="Heading3"/>
      </w:pPr>
      <w:r>
        <w:t xml:space="preserve">2. Purpose and Scope of This Purchase Order</w:t>
      </w:r>
    </w:p>
    <w:p>
      <w:pPr>
        <w:pStyle w:val="FirstParagraph"/>
      </w:pPr>
      <w:r>
        <w:t xml:space="preserve">This</w:t>
      </w:r>
      <w:r>
        <w:t xml:space="preserve"> </w:t>
      </w:r>
      <w:r>
        <w:t xml:space="preserve">Purchase Order</w:t>
      </w:r>
      <w:r>
        <w:t xml:space="preserve"> </w:t>
      </w:r>
      <w:r>
        <w:t xml:space="preserve">is issued by the Ministry of Education, Ghana Accra Region, to formally authorize the procurement of educational materials, instructional equipment, and professional development resources specifically designated for the</w:t>
      </w:r>
      <w:r>
        <w:t xml:space="preserve"> </w:t>
      </w:r>
      <w:r>
        <w:t xml:space="preserve">Teacher Secondary</w:t>
      </w:r>
      <w:r>
        <w:t xml:space="preserve"> </w:t>
      </w:r>
      <w:r>
        <w:t xml:space="preserve">programme operating across all public and private secondary schools in the Ghana Accra metropolitan area. The</w:t>
      </w:r>
      <w:r>
        <w:t xml:space="preserve"> </w:t>
      </w:r>
      <w:r>
        <w:t xml:space="preserve">Teacher Secondary</w:t>
      </w:r>
      <w:r>
        <w:t xml:space="preserve"> </w:t>
      </w:r>
      <w:r>
        <w:t xml:space="preserve">initiative is a government-backed strategy to enhance the quality of secondary-level instruction by equipping teachers with modern pedagogical tools, updated curricula, and continuous professional training. This</w:t>
      </w:r>
      <w:r>
        <w:t xml:space="preserve"> </w:t>
      </w:r>
      <w:r>
        <w:t xml:space="preserve">Purchase Order</w:t>
      </w:r>
      <w:r>
        <w:t xml:space="preserve"> </w:t>
      </w:r>
      <w:r>
        <w:t xml:space="preserve">covers the full academic year 2025/2026 and is binding upon both parties once countersigned and stamped.</w:t>
      </w:r>
    </w:p>
    <w:bookmarkEnd w:id="25"/>
    <w:bookmarkStart w:id="26" w:name="itemized-list-of-goods-and-services"/>
    <w:p>
      <w:pPr>
        <w:pStyle w:val="Heading3"/>
      </w:pPr>
      <w:r>
        <w:t xml:space="preserve">3. Itemized List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Teacher Secondary Curriculum Guide – JHS to SHS (2025 Edition)</w:t>
            </w:r>
          </w:p>
        </w:tc>
        <w:tc>
          <w:tcPr/>
          <w:p>
            <w:pPr>
              <w:pStyle w:val="Compact"/>
              <w:jc w:val="left"/>
            </w:pPr>
            <w:r>
              <w:t xml:space="preserve">2,400</w:t>
            </w:r>
          </w:p>
        </w:tc>
        <w:tc>
          <w:tcPr/>
          <w:p>
            <w:pPr>
              <w:pStyle w:val="Compact"/>
              <w:jc w:val="left"/>
            </w:pPr>
            <w:r>
              <w:t xml:space="preserve">Copies</w:t>
            </w:r>
          </w:p>
        </w:tc>
        <w:tc>
          <w:tcPr/>
          <w:p>
            <w:pPr>
              <w:pStyle w:val="Compact"/>
              <w:jc w:val="left"/>
            </w:pPr>
            <w:r>
              <w:t xml:space="preserve">185.00</w:t>
            </w:r>
          </w:p>
        </w:tc>
        <w:tc>
          <w:tcPr/>
          <w:p>
            <w:pPr>
              <w:pStyle w:val="Compact"/>
              <w:jc w:val="left"/>
            </w:pPr>
            <w:r>
              <w:t xml:space="preserve">444,000.00</w:t>
            </w:r>
          </w:p>
        </w:tc>
      </w:tr>
      <w:tr>
        <w:tc>
          <w:tcPr/>
          <w:p>
            <w:pPr>
              <w:pStyle w:val="Compact"/>
              <w:jc w:val="left"/>
            </w:pPr>
            <w:r>
              <w:t xml:space="preserve">02</w:t>
            </w:r>
          </w:p>
        </w:tc>
        <w:tc>
          <w:tcPr/>
          <w:p>
            <w:pPr>
              <w:pStyle w:val="Compact"/>
              <w:jc w:val="left"/>
            </w:pPr>
            <w:r>
              <w:t xml:space="preserve">Interactive Digital Whiteboards for Teacher Secondary Training Centres</w:t>
            </w:r>
          </w:p>
        </w:tc>
        <w:tc>
          <w:tcPr/>
          <w:p>
            <w:pPr>
              <w:pStyle w:val="Compact"/>
              <w:jc w:val="left"/>
            </w:pPr>
            <w:r>
              <w:t xml:space="preserve">85</w:t>
            </w:r>
          </w:p>
        </w:tc>
        <w:tc>
          <w:tcPr/>
          <w:p>
            <w:pPr>
              <w:pStyle w:val="Compact"/>
              <w:jc w:val="left"/>
            </w:pPr>
            <w:r>
              <w:t xml:space="preserve">Units</w:t>
            </w:r>
          </w:p>
        </w:tc>
        <w:tc>
          <w:tcPr/>
          <w:p>
            <w:pPr>
              <w:pStyle w:val="Compact"/>
              <w:jc w:val="left"/>
            </w:pPr>
            <w:r>
              <w:t xml:space="preserve">12,500.00</w:t>
            </w:r>
          </w:p>
        </w:tc>
        <w:tc>
          <w:tcPr/>
          <w:p>
            <w:pPr>
              <w:pStyle w:val="Compact"/>
              <w:jc w:val="left"/>
            </w:pPr>
            <w:r>
              <w:t xml:space="preserve">1,062,500.00</w:t>
            </w:r>
          </w:p>
        </w:tc>
      </w:tr>
      <w:tr>
        <w:tc>
          <w:tcPr/>
          <w:p>
            <w:pPr>
              <w:pStyle w:val="Compact"/>
              <w:jc w:val="left"/>
            </w:pPr>
            <w:r>
              <w:t xml:space="preserve">03</w:t>
            </w:r>
          </w:p>
        </w:tc>
        <w:tc>
          <w:tcPr/>
          <w:p>
            <w:pPr>
              <w:pStyle w:val="Compact"/>
              <w:jc w:val="left"/>
            </w:pPr>
            <w:r>
              <w:t xml:space="preserve">Teacher Secondary Professional Development Workshop Kits (per teacher cohort)</w:t>
            </w:r>
          </w:p>
        </w:tc>
        <w:tc>
          <w:tcPr/>
          <w:p>
            <w:pPr>
              <w:pStyle w:val="Compact"/>
              <w:jc w:val="left"/>
            </w:pPr>
            <w:r>
              <w:t xml:space="preserve">120</w:t>
            </w:r>
          </w:p>
        </w:tc>
        <w:tc>
          <w:tcPr/>
          <w:p>
            <w:pPr>
              <w:pStyle w:val="Compact"/>
              <w:jc w:val="left"/>
            </w:pPr>
            <w:r>
              <w:t xml:space="preserve">Kits</w:t>
            </w:r>
          </w:p>
        </w:tc>
        <w:tc>
          <w:tcPr/>
          <w:p>
            <w:pPr>
              <w:pStyle w:val="Compact"/>
              <w:jc w:val="left"/>
            </w:pPr>
            <w:r>
              <w:t xml:space="preserve">3,200.00</w:t>
            </w:r>
          </w:p>
        </w:tc>
        <w:tc>
          <w:tcPr/>
          <w:p>
            <w:pPr>
              <w:pStyle w:val="Compact"/>
              <w:jc w:val="left"/>
            </w:pPr>
            <w:r>
              <w:t xml:space="preserve">384,000.00</w:t>
            </w:r>
          </w:p>
        </w:tc>
      </w:tr>
      <w:tr>
        <w:tc>
          <w:tcPr/>
          <w:p>
            <w:pPr>
              <w:pStyle w:val="Compact"/>
              <w:jc w:val="left"/>
            </w:pPr>
            <w:r>
              <w:t xml:space="preserve">04</w:t>
            </w:r>
          </w:p>
        </w:tc>
        <w:tc>
          <w:tcPr/>
          <w:p>
            <w:pPr>
              <w:pStyle w:val="Compact"/>
              <w:jc w:val="left"/>
            </w:pPr>
            <w:r>
              <w:t xml:space="preserve">STEM Laboratory Equipment for Teacher Secondary Science Modules</w:t>
            </w:r>
          </w:p>
        </w:tc>
        <w:tc>
          <w:tcPr/>
          <w:p>
            <w:pPr>
              <w:pStyle w:val="Compact"/>
              <w:jc w:val="left"/>
            </w:pPr>
            <w:r>
              <w:t xml:space="preserve">40</w:t>
            </w:r>
          </w:p>
        </w:tc>
        <w:tc>
          <w:tcPr/>
          <w:p>
            <w:pPr>
              <w:pStyle w:val="Compact"/>
              <w:jc w:val="left"/>
            </w:pPr>
            <w:r>
              <w:t xml:space="preserve">Sets</w:t>
            </w:r>
          </w:p>
        </w:tc>
        <w:tc>
          <w:tcPr/>
          <w:p>
            <w:pPr>
              <w:pStyle w:val="Compact"/>
              <w:jc w:val="left"/>
            </w:pPr>
            <w:r>
              <w:t xml:space="preserve">8,750.00</w:t>
            </w:r>
          </w:p>
        </w:tc>
        <w:tc>
          <w:tcPr/>
          <w:p>
            <w:pPr>
              <w:pStyle w:val="Compact"/>
              <w:jc w:val="left"/>
            </w:pPr>
            <w:r>
              <w:t xml:space="preserve">350,000.00</w:t>
            </w:r>
          </w:p>
        </w:tc>
      </w:tr>
      <w:tr>
        <w:tc>
          <w:tcPr/>
          <w:p>
            <w:pPr>
              <w:pStyle w:val="Compact"/>
              <w:jc w:val="left"/>
            </w:pPr>
            <w:r>
              <w:t xml:space="preserve">05</w:t>
            </w:r>
          </w:p>
        </w:tc>
        <w:tc>
          <w:tcPr/>
          <w:p>
            <w:pPr>
              <w:pStyle w:val="Compact"/>
              <w:jc w:val="left"/>
            </w:pPr>
            <w:r>
              <w:t xml:space="preserve">Teacher Secondary Assessment &amp; Evaluation Software Licences</w:t>
            </w:r>
          </w:p>
        </w:tc>
        <w:tc>
          <w:tcPr/>
          <w:p>
            <w:pPr>
              <w:pStyle w:val="Compact"/>
              <w:jc w:val="left"/>
            </w:pPr>
            <w:r>
              <w:t xml:space="preserve">500</w:t>
            </w:r>
          </w:p>
        </w:tc>
        <w:tc>
          <w:tcPr/>
          <w:p>
            <w:pPr>
              <w:pStyle w:val="Compact"/>
              <w:jc w:val="left"/>
            </w:pPr>
            <w:r>
              <w:t xml:space="preserve">Seats</w:t>
            </w:r>
          </w:p>
        </w:tc>
        <w:tc>
          <w:tcPr/>
          <w:p>
            <w:pPr>
              <w:pStyle w:val="Compact"/>
              <w:jc w:val="left"/>
            </w:pPr>
            <w:r>
              <w:t xml:space="preserve">650.00</w:t>
            </w:r>
          </w:p>
        </w:tc>
        <w:tc>
          <w:tcPr/>
          <w:p>
            <w:pPr>
              <w:pStyle w:val="Compact"/>
              <w:jc w:val="left"/>
            </w:pPr>
            <w:r>
              <w:t xml:space="preserve">325,000.00</w:t>
            </w:r>
          </w:p>
        </w:tc>
      </w:tr>
      <w:tr>
        <w:tc>
          <w:tcPr/>
          <w:p>
            <w:pPr>
              <w:pStyle w:val="Compact"/>
              <w:jc w:val="left"/>
            </w:pPr>
            <w:r>
              <w:t xml:space="preserve">06</w:t>
            </w:r>
          </w:p>
        </w:tc>
        <w:tc>
          <w:tcPr/>
          <w:p>
            <w:pPr>
              <w:pStyle w:val="Compact"/>
              <w:jc w:val="left"/>
            </w:pPr>
            <w:r>
              <w:t xml:space="preserve">Printed Teacher Secondary Lesson Plan Templates (Annual Pack)</w:t>
            </w:r>
          </w:p>
        </w:tc>
        <w:tc>
          <w:tcPr/>
          <w:p>
            <w:pPr>
              <w:pStyle w:val="Compact"/>
              <w:jc w:val="left"/>
            </w:pPr>
            <w:r>
              <w:t xml:space="preserve">3,000</w:t>
            </w:r>
          </w:p>
        </w:tc>
        <w:tc>
          <w:tcPr/>
          <w:p>
            <w:pPr>
              <w:pStyle w:val="Compact"/>
              <w:jc w:val="left"/>
            </w:pPr>
            <w:r>
              <w:t xml:space="preserve">Packs</w:t>
            </w:r>
          </w:p>
        </w:tc>
        <w:tc>
          <w:tcPr/>
          <w:p>
            <w:pPr>
              <w:pStyle w:val="Compact"/>
              <w:jc w:val="left"/>
            </w:pPr>
            <w:r>
              <w:t xml:space="preserve">95.00</w:t>
            </w:r>
          </w:p>
        </w:tc>
        <w:tc>
          <w:tcPr/>
          <w:p>
            <w:pPr>
              <w:pStyle w:val="Compact"/>
              <w:jc w:val="left"/>
            </w:pPr>
            <w:r>
              <w:t xml:space="preserve">285,000.00</w:t>
            </w:r>
          </w:p>
        </w:tc>
      </w:tr>
      <w:tr>
        <w:tc>
          <w:tcPr/>
          <w:p>
            <w:pPr>
              <w:pStyle w:val="Compact"/>
              <w:jc w:val="left"/>
            </w:pPr>
            <w:r>
              <w:t xml:space="preserve">07</w:t>
            </w:r>
          </w:p>
        </w:tc>
        <w:tc>
          <w:tcPr/>
          <w:p>
            <w:pPr>
              <w:pStyle w:val="Compact"/>
              <w:jc w:val="left"/>
            </w:pPr>
            <w:r>
              <w:t xml:space="preserve">Teacher Secondary Mentorship Programme Facilitation Services (Ghana Accra)</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08</w:t>
            </w:r>
          </w:p>
        </w:tc>
        <w:tc>
          <w:tcPr/>
          <w:p>
            <w:pPr>
              <w:pStyle w:val="Compact"/>
              <w:jc w:val="left"/>
            </w:pPr>
            <w:r>
              <w:t xml:space="preserve">Teacher Secondary Digital Learning Tablets (10-inch, pre-loaded)</w:t>
            </w:r>
          </w:p>
        </w:tc>
        <w:tc>
          <w:tcPr/>
          <w:p>
            <w:pPr>
              <w:pStyle w:val="Compact"/>
              <w:jc w:val="left"/>
            </w:pPr>
            <w:r>
              <w:t xml:space="preserve">1,200</w:t>
            </w:r>
          </w:p>
        </w:tc>
        <w:tc>
          <w:tcPr/>
          <w:p>
            <w:pPr>
              <w:pStyle w:val="Compact"/>
              <w:jc w:val="left"/>
            </w:pPr>
            <w:r>
              <w:t xml:space="preserve">Units</w:t>
            </w:r>
          </w:p>
        </w:tc>
        <w:tc>
          <w:tcPr/>
          <w:p>
            <w:pPr>
              <w:pStyle w:val="Compact"/>
              <w:jc w:val="left"/>
            </w:pPr>
            <w:r>
              <w:t xml:space="preserve">2,800.00</w:t>
            </w:r>
          </w:p>
        </w:tc>
        <w:tc>
          <w:tcPr/>
          <w:p>
            <w:pPr>
              <w:pStyle w:val="Compact"/>
              <w:jc w:val="left"/>
            </w:pPr>
            <w:r>
              <w:t xml:space="preserve">3,360,000.00</w:t>
            </w:r>
          </w:p>
        </w:tc>
      </w:tr>
      <w:tr>
        <w:tc>
          <w:tcPr>
            <w:gridSpan w:val="5"/>
          </w:tcPr>
          <w:p>
            <w:pPr>
              <w:pStyle w:val="Compact"/>
              <w:jc w:val="right"/>
            </w:pPr>
            <w:r>
              <w:t xml:space="preserve">GRAND TOTAL (GHS)</w:t>
            </w:r>
          </w:p>
        </w:tc>
        <w:tc>
          <w:tcPr/>
          <w:p>
            <w:pPr>
              <w:pStyle w:val="Compact"/>
              <w:jc w:val="left"/>
            </w:pPr>
            <w:r>
              <w:t xml:space="preserve">6,660,500.00</w:t>
            </w:r>
          </w:p>
        </w:tc>
      </w:tr>
    </w:tbl>
    <w:bookmarkEnd w:id="26"/>
    <w:bookmarkStart w:id="27" w:name="delivery-and-installation-requirements"/>
    <w:p>
      <w:pPr>
        <w:pStyle w:val="Heading3"/>
      </w:pPr>
      <w:r>
        <w:t xml:space="preserve">4. Delivery and Installation Requirements</w:t>
      </w:r>
    </w:p>
    <w:p>
      <w:pPr>
        <w:pStyle w:val="FirstParagraph"/>
      </w:pPr>
      <w:r>
        <w:t xml:space="preserve">All physical goods listed under this</w:t>
      </w:r>
      <w:r>
        <w:t xml:space="preserve"> </w:t>
      </w:r>
      <w:r>
        <w:t xml:space="preserve">Purchase Order</w:t>
      </w:r>
      <w:r>
        <w:t xml:space="preserve"> </w:t>
      </w:r>
      <w:r>
        <w:t xml:space="preserve">shall be delivered to the designated</w:t>
      </w:r>
      <w:r>
        <w:t xml:space="preserve"> </w:t>
      </w:r>
      <w:r>
        <w:t xml:space="preserve">Teacher Secondary</w:t>
      </w:r>
      <w:r>
        <w:t xml:space="preserve"> </w:t>
      </w:r>
      <w:r>
        <w:t xml:space="preserve">resource depots located in the Ghana Accra region, specifically at the following sites: (a) the Central Teacher Secondary Training Facility, Osu, Ghana Accra; (b) the Eastern Region Teacher Secondary Hub, Adenta, Ghana Accra; and (c) the Western Teacher Secondary Annex, Teshie, Ghana Accra. The supplier shall ensure that all</w:t>
      </w:r>
      <w:r>
        <w:t xml:space="preserve"> </w:t>
      </w:r>
      <w:r>
        <w:t xml:space="preserve">Teacher Secondary</w:t>
      </w:r>
      <w:r>
        <w:t xml:space="preserve"> </w:t>
      </w:r>
      <w:r>
        <w:t xml:space="preserve">digital equipment is installed, configured, and tested on-site within fourteen (14) calendar days of delivery. A written delivery confirmation signed by the Ghana Accra Regional Education Officer must accompany each shipment. Late delivery beyond the stipulated window will incur a penalty of 0.5% of the affected item value per day, as per the terms of this</w:t>
      </w:r>
      <w:r>
        <w:t xml:space="preserve"> </w:t>
      </w:r>
      <w:r>
        <w:t xml:space="preserve">Purchase Order</w:t>
      </w:r>
      <w:r>
        <w:t xml:space="preserve">.</w:t>
      </w:r>
    </w:p>
    <w:bookmarkEnd w:id="27"/>
    <w:bookmarkStart w:id="28" w:name="payment-terms-and-conditions"/>
    <w:p>
      <w:pPr>
        <w:pStyle w:val="Heading3"/>
      </w:pPr>
      <w:r>
        <w:t xml:space="preserve">5. Payment Terms and Conditions</w:t>
      </w:r>
    </w:p>
    <w:p>
      <w:pPr>
        <w:pStyle w:val="FirstParagraph"/>
      </w:pPr>
      <w:r>
        <w:t xml:space="preserve">Payment for this</w:t>
      </w:r>
      <w:r>
        <w:t xml:space="preserve"> </w:t>
      </w:r>
      <w:r>
        <w:t xml:space="preserve">Purchase Order</w:t>
      </w:r>
      <w:r>
        <w:t xml:space="preserve"> </w:t>
      </w:r>
      <w:r>
        <w:t xml:space="preserve">shall be made in three (3) tranches: (i) 30% advance payment upon execution and countersignature of this</w:t>
      </w:r>
      <w:r>
        <w:t xml:space="preserve"> </w:t>
      </w:r>
      <w:r>
        <w:t xml:space="preserve">Purchase Order</w:t>
      </w:r>
      <w:r>
        <w:t xml:space="preserve">; (ii) 50% upon verified delivery and installation of all</w:t>
      </w:r>
      <w:r>
        <w:t xml:space="preserve"> </w:t>
      </w:r>
      <w:r>
        <w:t xml:space="preserve">Teacher Secondary</w:t>
      </w:r>
      <w:r>
        <w:t xml:space="preserve"> </w:t>
      </w:r>
      <w:r>
        <w:t xml:space="preserve">goods in the Ghana Accra depots; and (iii) the remaining 20% upon successful completion of the first</w:t>
      </w:r>
      <w:r>
        <w:t xml:space="preserve"> </w:t>
      </w:r>
      <w:r>
        <w:t xml:space="preserve">Teacher Secondary</w:t>
      </w:r>
      <w:r>
        <w:t xml:space="preserve"> </w:t>
      </w:r>
      <w:r>
        <w:t xml:space="preserve">professional development cycle and submission of the final performance report to the Ministry of Education, Ghana Accra. All payments shall be processed via bank transfer to the supplier's designated account. The currency of this</w:t>
      </w:r>
      <w:r>
        <w:t xml:space="preserve"> </w:t>
      </w:r>
      <w:r>
        <w:t xml:space="preserve">Purchase Order</w:t>
      </w:r>
      <w:r>
        <w:t xml:space="preserve"> </w:t>
      </w:r>
      <w:r>
        <w:t xml:space="preserve">is the Ghanaian Cedi (GHS). The supplier must provide a valid Tax Identification Number (TIN) and a current Ghana Revenue Authority (GRA) certificate for all invoicing related to this</w:t>
      </w:r>
      <w:r>
        <w:t xml:space="preserve"> </w:t>
      </w:r>
      <w:r>
        <w:t xml:space="preserve">Purchase Order</w:t>
      </w:r>
      <w:r>
        <w:t xml:space="preserve">.</w:t>
      </w:r>
    </w:p>
    <w:bookmarkEnd w:id="28"/>
    <w:bookmarkStart w:id="29" w:name="quality-assurance-and-compliance"/>
    <w:p>
      <w:pPr>
        <w:pStyle w:val="Heading3"/>
      </w:pPr>
      <w:r>
        <w:t xml:space="preserve">6. Quality Assurance and Compliance</w:t>
      </w:r>
    </w:p>
    <w:p>
      <w:pPr>
        <w:pStyle w:val="FirstParagraph"/>
      </w:pPr>
      <w:r>
        <w:t xml:space="preserve">All materials procured under this</w:t>
      </w:r>
      <w:r>
        <w:t xml:space="preserve"> </w:t>
      </w:r>
      <w:r>
        <w:t xml:space="preserve">Purchase Order</w:t>
      </w:r>
      <w:r>
        <w:t xml:space="preserve"> </w:t>
      </w:r>
      <w:r>
        <w:t xml:space="preserve">for the</w:t>
      </w:r>
      <w:r>
        <w:t xml:space="preserve"> </w:t>
      </w:r>
      <w:r>
        <w:t xml:space="preserve">Teacher Secondary</w:t>
      </w:r>
      <w:r>
        <w:t xml:space="preserve"> </w:t>
      </w:r>
      <w:r>
        <w:t xml:space="preserve">programme must comply with the standards set by the National Council for Curriculum and Assessment (NaCCA) of Ghana and the West African Examinations Council (WAEC). The supplier warrants that all</w:t>
      </w:r>
      <w:r>
        <w:t xml:space="preserve"> </w:t>
      </w:r>
      <w:r>
        <w:t xml:space="preserve">Teacher Secondary</w:t>
      </w:r>
      <w:r>
        <w:t xml:space="preserve"> </w:t>
      </w:r>
      <w:r>
        <w:t xml:space="preserve">curriculum guides, software, and hardware are free from defects, fully licensed, and suitable for use in the Ghana Accra secondary education environment. A quality inspection team from the Ghana Accra Regional Education Directorate shall conduct a pre-acceptance audit of all goods before the final 20% payment is released. Any items found non-compliant with the</w:t>
      </w:r>
      <w:r>
        <w:t xml:space="preserve"> </w:t>
      </w:r>
      <w:r>
        <w:t xml:space="preserve">Teacher Secondary</w:t>
      </w:r>
      <w:r>
        <w:t xml:space="preserve"> </w:t>
      </w:r>
      <w:r>
        <w:t xml:space="preserve">specifications outlined in this</w:t>
      </w:r>
      <w:r>
        <w:t xml:space="preserve"> </w:t>
      </w:r>
      <w:r>
        <w:t xml:space="preserve">Purchase Order</w:t>
      </w:r>
      <w:r>
        <w:t xml:space="preserve"> </w:t>
      </w:r>
      <w:r>
        <w:t xml:space="preserve">shall be replaced at the supplier's sole expense within seven (7) business days.</w:t>
      </w:r>
    </w:p>
    <w:bookmarkEnd w:id="29"/>
    <w:bookmarkStart w:id="30" w:name="general-terms-and-conditions"/>
    <w:p>
      <w:pPr>
        <w:pStyle w:val="Heading3"/>
      </w:pPr>
      <w:r>
        <w:t xml:space="preserve">7. General Terms and Conditions</w:t>
      </w:r>
    </w:p>
    <w:p>
      <w:pPr>
        <w:pStyle w:val="FirstParagraph"/>
      </w:pPr>
      <w:r>
        <w:t xml:space="preserve">7.1. This</w:t>
      </w:r>
      <w:r>
        <w:t xml:space="preserve"> </w:t>
      </w:r>
      <w:r>
        <w:t xml:space="preserve">Purchase Order</w:t>
      </w:r>
      <w:r>
        <w:t xml:space="preserve"> </w:t>
      </w:r>
      <w:r>
        <w:t xml:space="preserve">constitutes a legally binding agreement between the Ministry of Education, Ghana Accra Region, and the named supplier upon full execution by both parties.</w:t>
      </w:r>
    </w:p>
    <w:p>
      <w:pPr>
        <w:pStyle w:val="BodyText"/>
      </w:pPr>
      <w:r>
        <w:t xml:space="preserve">7.2. The supplier shall maintain full insurance coverage on all</w:t>
      </w:r>
      <w:r>
        <w:t xml:space="preserve"> </w:t>
      </w:r>
      <w:r>
        <w:t xml:space="preserve">Teacher Secondary</w:t>
      </w:r>
      <w:r>
        <w:t xml:space="preserve"> </w:t>
      </w:r>
      <w:r>
        <w:t xml:space="preserve">goods until final acceptance is recorded in the Ghana Accra regional registry.</w:t>
      </w:r>
    </w:p>
    <w:p>
      <w:pPr>
        <w:pStyle w:val="BodyText"/>
      </w:pPr>
      <w:r>
        <w:t xml:space="preserve">7.3. Any amendments to this</w:t>
      </w:r>
      <w:r>
        <w:t xml:space="preserve"> </w:t>
      </w:r>
      <w:r>
        <w:t xml:space="preserve">Purchase Order</w:t>
      </w:r>
      <w:r>
        <w:t xml:space="preserve"> </w:t>
      </w:r>
      <w:r>
        <w:t xml:space="preserve">must be made in writing and signed by both parties. Verbal modifications are null and void.</w:t>
      </w:r>
    </w:p>
    <w:p>
      <w:pPr>
        <w:pStyle w:val="BodyText"/>
      </w:pPr>
      <w:r>
        <w:t xml:space="preserve">7.4. Disputes arising from this</w:t>
      </w:r>
      <w:r>
        <w:t xml:space="preserve"> </w:t>
      </w:r>
      <w:r>
        <w:t xml:space="preserve">Purchase Order</w:t>
      </w:r>
      <w:r>
        <w:t xml:space="preserve"> </w:t>
      </w:r>
      <w:r>
        <w:t xml:space="preserve">shall be resolved through mediation under the Ghana Arbitration Act, 2023 (Act 1020), with the seat of arbitration in Ghana Accra.</w:t>
      </w:r>
    </w:p>
    <w:p>
      <w:pPr>
        <w:pStyle w:val="BodyText"/>
      </w:pPr>
      <w:r>
        <w:t xml:space="preserve">7.5. The supplier shall not subcontract any portion of the</w:t>
      </w:r>
      <w:r>
        <w:t xml:space="preserve"> </w:t>
      </w:r>
      <w:r>
        <w:t xml:space="preserve">Teacher Secondary</w:t>
      </w:r>
      <w:r>
        <w:t xml:space="preserve"> </w:t>
      </w:r>
      <w:r>
        <w:t xml:space="preserve">delivery obligations without prior written consent from the Ghana Accra Regional Education Director.</w:t>
      </w:r>
    </w:p>
    <w:p>
      <w:pPr>
        <w:pStyle w:val="BodyText"/>
      </w:pPr>
      <w:r>
        <w:t xml:space="preserve">7.6. This</w:t>
      </w:r>
      <w:r>
        <w:t xml:space="preserve"> </w:t>
      </w:r>
      <w:r>
        <w:t xml:space="preserve">Purchase Order</w:t>
      </w:r>
      <w:r>
        <w:t xml:space="preserve"> </w:t>
      </w:r>
      <w:r>
        <w:t xml:space="preserve">is governed by the laws of the Republic of Ghana, and all proceedings shall be conducted in the English language.</w:t>
      </w:r>
    </w:p>
    <w:bookmarkEnd w:id="30"/>
    <w:bookmarkStart w:id="31" w:name="authorisation-and-signatures"/>
    <w:p>
      <w:pPr>
        <w:pStyle w:val="Heading3"/>
      </w:pPr>
      <w:r>
        <w:t xml:space="preserve">8. Authorisation and Signatures</w:t>
      </w:r>
    </w:p>
    <w:p>
      <w:pPr>
        <w:pStyle w:val="FirstParagraph"/>
      </w:pPr>
      <w:r>
        <w:rPr>
          <w:bCs/>
          <w:b/>
        </w:rPr>
        <w:t xml:space="preserve">For and on behalf of the Purchasing Authority:</w:t>
      </w:r>
    </w:p>
    <w:p>
      <w:pPr>
        <w:pStyle w:val="BodyText"/>
      </w:pPr>
      <w:r>
        <w:t xml:space="preserve">Ministry of Education – Ghana Accra Region</w:t>
      </w:r>
    </w:p>
    <w:p>
      <w:pPr>
        <w:pStyle w:val="BodyText"/>
      </w:pPr>
      <w:r>
        <w:t xml:space="preserve">Name: Dr. Kwame Asante-Mensah</w:t>
      </w:r>
    </w:p>
    <w:p>
      <w:pPr>
        <w:pStyle w:val="BodyText"/>
      </w:pPr>
      <w:r>
        <w:t xml:space="preserve">Title: Regional Director of Secondary Education, Ghana Accra</w:t>
      </w:r>
    </w:p>
    <w:p>
      <w:pPr>
        <w:pStyle w:val="BodyText"/>
      </w:pPr>
      <w:r>
        <w:t xml:space="preserve">Date: ____________________</w:t>
      </w:r>
    </w:p>
    <w:p>
      <w:pPr>
        <w:pStyle w:val="BodyText"/>
      </w:pPr>
      <w:r>
        <w:rPr>
          <w:bCs/>
          <w:b/>
        </w:rPr>
        <w:t xml:space="preserve">For and on behalf of the Supplier:</w:t>
      </w:r>
    </w:p>
    <w:p>
      <w:pPr>
        <w:pStyle w:val="BodyText"/>
      </w:pPr>
      <w:r>
        <w:t xml:space="preserve">Accra Educational Supplies &amp; Resources Ltd.</w:t>
      </w:r>
    </w:p>
    <w:p>
      <w:pPr>
        <w:pStyle w:val="BodyText"/>
      </w:pPr>
      <w:r>
        <w:t xml:space="preserve">Name: Mrs. Efua Boateng</w:t>
      </w:r>
    </w:p>
    <w:p>
      <w:pPr>
        <w:pStyle w:val="BodyText"/>
      </w:pPr>
      <w:r>
        <w:t xml:space="preserve">Title: Managing Director</w:t>
      </w:r>
    </w:p>
    <w:p>
      <w:pPr>
        <w:pStyle w:val="BodyText"/>
      </w:pPr>
      <w:r>
        <w:t xml:space="preserve">Date: ____________________</w:t>
      </w:r>
    </w:p>
    <w:p>
      <w:pPr>
        <w:pStyle w:val="BodyText"/>
      </w:pPr>
      <w:r>
        <w:t xml:space="preserve">[Official Stamp of the Ministry of Education, Ghana Accra Region]</w:t>
      </w:r>
    </w:p>
    <w:p>
      <w:pPr>
        <w:pStyle w:val="BodyText"/>
      </w:pPr>
      <w:r>
        <w:t xml:space="preserve">[Supplier Company Seal]</w:t>
      </w:r>
    </w:p>
    <w:bookmarkEnd w:id="31"/>
    <w:bookmarkStart w:id="32" w:name="document-control"/>
    <w:p>
      <w:pPr>
        <w:pStyle w:val="Heading3"/>
      </w:pPr>
      <w:r>
        <w:t xml:space="preserve">9. Document Control</w:t>
      </w:r>
    </w:p>
    <w:p>
      <w:pPr>
        <w:pStyle w:val="FirstParagraph"/>
      </w:pPr>
      <w:r>
        <w:t xml:space="preserve">This</w:t>
      </w:r>
      <w:r>
        <w:t xml:space="preserve"> </w:t>
      </w:r>
      <w:r>
        <w:t xml:space="preserve">Purchase Order</w:t>
      </w:r>
      <w:r>
        <w:t xml:space="preserve"> </w:t>
      </w:r>
      <w:r>
        <w:t xml:space="preserve">(PO No: GHA-ACC-TS-2025-0047) is the definitive procurement instrument for the</w:t>
      </w:r>
      <w:r>
        <w:t xml:space="preserve"> </w:t>
      </w:r>
      <w:r>
        <w:t xml:space="preserve">Teacher Secondary</w:t>
      </w:r>
      <w:r>
        <w:t xml:space="preserve"> </w:t>
      </w:r>
      <w:r>
        <w:t xml:space="preserve">programme in the Ghana Accra region for the 2025/2026 academic year. It supersedes all prior quotations, letters of intent, and preliminary agreements related to the</w:t>
      </w:r>
      <w:r>
        <w:t xml:space="preserve"> </w:t>
      </w:r>
      <w:r>
        <w:t xml:space="preserve">Teacher Secondary</w:t>
      </w:r>
      <w:r>
        <w:t xml:space="preserve"> </w:t>
      </w:r>
      <w:r>
        <w:t xml:space="preserve">procurement cycle. A total of four (4) original copies of this</w:t>
      </w:r>
      <w:r>
        <w:t xml:space="preserve"> </w:t>
      </w:r>
      <w:r>
        <w:t xml:space="preserve">Purchase Order</w:t>
      </w:r>
      <w:r>
        <w:t xml:space="preserve"> </w:t>
      </w:r>
      <w:r>
        <w:t xml:space="preserve">have been executed: two (2) retained by the Ministry of Education, Ghana Accra; one (1) issued to the supplier; and one (1) filed with the Ghana Accra Regional Accounts Office for audit purposes.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Ghana Accra</dc:title>
  <dc:creator/>
  <dc:language>en</dc:language>
  <cp:keywords/>
  <dcterms:created xsi:type="dcterms:W3CDTF">2026-10-10T03:49:08Z</dcterms:created>
  <dcterms:modified xsi:type="dcterms:W3CDTF">2026-10-10T03:49:08Z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