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rPr>
          <w:bCs/>
          <w:b/>
        </w:rPr>
        <w:t xml:space="preserve">Document Reference:</w:t>
      </w:r>
      <w:r>
        <w:t xml:space="preserve"> </w:t>
      </w:r>
      <w:r>
        <w:t xml:space="preserve">PO-JKT-SEC-2025-0047</w:t>
      </w:r>
    </w:p>
    <w:p>
      <w:pPr>
        <w:pStyle w:val="BodyText"/>
      </w:pPr>
      <w:r>
        <w:rPr>
          <w:bCs/>
          <w:b/>
        </w:rPr>
        <w:t xml:space="preserve">Issuing Authority:</w:t>
      </w:r>
      <w:r>
        <w:t xml:space="preserve"> </w:t>
      </w:r>
      <w:r>
        <w:t xml:space="preserve">Directorate of Secondary Education, Jakarta Provincial Education Office</w:t>
      </w:r>
    </w:p>
    <w:p>
      <w:pPr>
        <w:pStyle w:val="BodyText"/>
      </w:pPr>
      <w:r>
        <w:rPr>
          <w:bCs/>
          <w:b/>
        </w:rPr>
        <w:t xml:space="preserve">Location of Operation:</w:t>
      </w:r>
      <w:r>
        <w:t xml:space="preserve"> </w:t>
      </w:r>
      <w:r>
        <w:t xml:space="preserve">Indonesia Jakarta, Special Capital Region of Jakarta (DKI Jakarta)</w:t>
      </w:r>
    </w:p>
    <w:bookmarkEnd w:id="20"/>
    <w:p>
      <w:pPr>
        <w:pStyle w:val="BodyText"/>
      </w:pPr>
      <w:r>
        <w:rPr>
          <w:bCs/>
          <w:b/>
        </w:rPr>
        <w:t xml:space="preserve">Purchase Order Number:</w:t>
      </w:r>
      <w:r>
        <w:t xml:space="preserve"> </w:t>
      </w:r>
      <w:r>
        <w:t xml:space="preserve">PO-JKT-SEC-2025-0047</w:t>
      </w:r>
    </w:p>
    <w:p>
      <w:pPr>
        <w:pStyle w:val="BodyText"/>
      </w:pPr>
      <w:r>
        <w:rPr>
          <w:bCs/>
          <w:b/>
        </w:rPr>
        <w:t xml:space="preserve">Date of Issue:</w:t>
      </w:r>
      <w:r>
        <w:t xml:space="preserve"> </w:t>
      </w:r>
      <w:r>
        <w:t xml:space="preserve">15 January 2025</w:t>
      </w:r>
    </w:p>
    <w:p>
      <w:pPr>
        <w:pStyle w:val="BodyText"/>
      </w:pPr>
      <w:r>
        <w:rPr>
          <w:bCs/>
          <w:b/>
        </w:rPr>
        <w:t xml:space="preserve">Required Delivery Date:</w:t>
      </w:r>
      <w:r>
        <w:t xml:space="preserve"> </w:t>
      </w:r>
      <w:r>
        <w:t xml:space="preserve">28 February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Indonesian Rupiah (IDR)</w:t>
      </w:r>
    </w:p>
    <w:p>
      <w:pPr>
        <w:pStyle w:val="BodyText"/>
      </w:pPr>
      <w:r>
        <w:rPr>
          <w:bCs/>
          <w:b/>
        </w:rPr>
        <w:t xml:space="preserve">Valid Until:</w:t>
      </w:r>
      <w:r>
        <w:t xml:space="preserve"> </w:t>
      </w:r>
      <w:r>
        <w:t xml:space="preserve">31 March 2025</w:t>
      </w:r>
    </w:p>
    <w:p>
      <w:pPr>
        <w:pStyle w:val="BodyText"/>
      </w:pPr>
      <w:r>
        <w:t xml:space="preserve">1. PARTIES INVOLVED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Name / Entity</w:t>
            </w:r>
          </w:p>
        </w:tc>
        <w:tc>
          <w:tcPr/>
          <w:p>
            <w:pPr>
              <w:pStyle w:val="Compact"/>
              <w:jc w:val="left"/>
            </w:pPr>
            <w:r>
              <w:t xml:space="preserve">Address</w:t>
            </w:r>
          </w:p>
        </w:tc>
      </w:tr>
      <w:tr>
        <w:tc>
          <w:tcPr/>
          <w:p>
            <w:pPr>
              <w:pStyle w:val="Compact"/>
              <w:jc w:val="left"/>
            </w:pPr>
            <w:r>
              <w:rPr>
                <w:bCs/>
                <w:b/>
              </w:rPr>
              <w:t xml:space="preserve">Buyer (Purchasing Entity)</w:t>
            </w:r>
          </w:p>
        </w:tc>
        <w:tc>
          <w:tcPr/>
          <w:p>
            <w:pPr>
              <w:pStyle w:val="Compact"/>
              <w:jc w:val="left"/>
            </w:pPr>
            <w:r>
              <w:t xml:space="preserve">Direktorat Pendidikan Menengah, Dinas Pendidikan Provinsi DKI Jakarta</w:t>
            </w:r>
          </w:p>
        </w:tc>
        <w:tc>
          <w:tcPr/>
          <w:p>
            <w:pPr>
              <w:pStyle w:val="Compact"/>
              <w:jc w:val="left"/>
            </w:pPr>
            <w:r>
              <w:t xml:space="preserve">Jl. Pintu I Besar No. 3, Gambir, Jakarta Pusat, Indonesia Jakarta, 10110</w:t>
            </w:r>
          </w:p>
        </w:tc>
      </w:tr>
      <w:tr>
        <w:tc>
          <w:tcPr/>
          <w:p>
            <w:pPr>
              <w:pStyle w:val="Compact"/>
              <w:jc w:val="left"/>
            </w:pPr>
            <w:r>
              <w:rPr>
                <w:bCs/>
                <w:b/>
              </w:rPr>
              <w:t xml:space="preserve">Seller (Supplier)</w:t>
            </w:r>
          </w:p>
        </w:tc>
        <w:tc>
          <w:tcPr/>
          <w:p>
            <w:pPr>
              <w:pStyle w:val="Compact"/>
              <w:jc w:val="left"/>
            </w:pPr>
            <w:r>
              <w:t xml:space="preserve">PT Edukasi Nusantara Sejahtera</w:t>
            </w:r>
          </w:p>
        </w:tc>
        <w:tc>
          <w:tcPr/>
          <w:p>
            <w:pPr>
              <w:pStyle w:val="Compact"/>
              <w:jc w:val="left"/>
            </w:pPr>
            <w:r>
              <w:t xml:space="preserve">Jl. Gatot Subroto Kav. 28, Kuningan, Setiabudi, Jakarta Selatan, Indonesia Jakarta, 12950</w:t>
            </w:r>
          </w:p>
        </w:tc>
      </w:tr>
      <w:tr>
        <w:tc>
          <w:tcPr/>
          <w:p>
            <w:pPr>
              <w:pStyle w:val="Compact"/>
              <w:jc w:val="left"/>
            </w:pPr>
            <w:r>
              <w:rPr>
                <w:bCs/>
                <w:b/>
              </w:rPr>
              <w:t xml:space="preserve">Beneficiary / End User</w:t>
            </w:r>
          </w:p>
        </w:tc>
        <w:tc>
          <w:tcPr/>
          <w:p>
            <w:pPr>
              <w:pStyle w:val="Compact"/>
              <w:jc w:val="left"/>
            </w:pPr>
            <w:r>
              <w:t xml:space="preserve">All accredited Secondary Schools (Sekolah Menengah Atas / Sekolah Menengah Kejuruan) within Indonesia Jakarta</w:t>
            </w:r>
          </w:p>
        </w:tc>
        <w:tc>
          <w:tcPr/>
          <w:p>
            <w:pPr>
              <w:pStyle w:val="Compact"/>
              <w:jc w:val="left"/>
            </w:pPr>
            <w:r>
              <w:t xml:space="preserve">Various locations across the five administrative cities of Indonesia Jakarta</w:t>
            </w:r>
          </w:p>
        </w:tc>
      </w:tr>
    </w:tbl>
    <w:p>
      <w:pPr>
        <w:pStyle w:val="BodyText"/>
      </w:pPr>
      <w:r>
        <w:t xml:space="preserve">2. PURPOSE AND SCOPE OF THIS PURCHASE ORDER</w:t>
      </w:r>
    </w:p>
    <w:p>
      <w:pPr>
        <w:pStyle w:val="BodyText"/>
      </w:pPr>
      <w:r>
        <w:t xml:space="preserve">This</w:t>
      </w:r>
      <w:r>
        <w:t xml:space="preserve"> </w:t>
      </w:r>
      <w:r>
        <w:t xml:space="preserve">Purchase Order</w:t>
      </w:r>
      <w:r>
        <w:t xml:space="preserve"> </w:t>
      </w:r>
      <w:r>
        <w:t xml:space="preserve">is issued by the Jakarta Provincial Education Office to formally authorize the procurement of professional development services, instructional materials, and pedagogical training programs specifically designed for</w:t>
      </w:r>
      <w:r>
        <w:t xml:space="preserve"> </w:t>
      </w:r>
      <w:r>
        <w:t xml:space="preserve">Teacher Secondary</w:t>
      </w:r>
      <w:r>
        <w:t xml:space="preserve"> </w:t>
      </w:r>
      <w:r>
        <w:t xml:space="preserve">personnel across all public and private secondary schools operating within the administrative boundaries of</w:t>
      </w:r>
      <w:r>
        <w:t xml:space="preserve"> </w:t>
      </w:r>
      <w:r>
        <w:t xml:space="preserve">Indonesia Jakarta</w:t>
      </w:r>
      <w:r>
        <w:t xml:space="preserve">. The scope of this Purchase Order encompasses the recruitment, deployment, and ongoing support of certified secondary-level educators, as well as the supply of curriculum-aligned teaching resources required for the 2025/2026 academic year.</w:t>
      </w:r>
    </w:p>
    <w:p>
      <w:pPr>
        <w:pStyle w:val="BodyText"/>
      </w:pPr>
      <w:r>
        <w:t xml:space="preserve">The primary objective of this Purchase Order is to ensure that every</w:t>
      </w:r>
      <w:r>
        <w:t xml:space="preserve"> </w:t>
      </w:r>
      <w:r>
        <w:t xml:space="preserve">Teacher Secondary</w:t>
      </w:r>
      <w:r>
        <w:t xml:space="preserve"> </w:t>
      </w:r>
      <w:r>
        <w:t xml:space="preserve">assigned to schools in</w:t>
      </w:r>
      <w:r>
        <w:t xml:space="preserve"> </w:t>
      </w:r>
      <w:r>
        <w:t xml:space="preserve">Indonesia Jakarta</w:t>
      </w:r>
      <w:r>
        <w:t xml:space="preserve"> </w:t>
      </w:r>
      <w:r>
        <w:t xml:space="preserve">receives standardized professional training, up-to-date instructional materials, and continuous pedagogical support in accordance with the national curriculum framework (Kurikulum Merdeka) and the specific regulatory requirements of the Special Capital Region of Jakarta.</w:t>
      </w:r>
    </w:p>
    <w:p>
      <w:pPr>
        <w:pStyle w:val="BodyText"/>
      </w:pPr>
      <w:r>
        <w:t xml:space="preserve">3. LINE ITEMS AND QUANTITIES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(IDR)</w:t>
            </w:r>
          </w:p>
        </w:tc>
        <w:tc>
          <w:tcPr/>
          <w:p>
            <w:pPr>
              <w:pStyle w:val="Compact"/>
              <w:jc w:val="left"/>
            </w:pPr>
            <w:r>
              <w:t xml:space="preserve">Total (IDR)</w:t>
            </w:r>
          </w:p>
        </w:tc>
      </w:tr>
      <w:tr>
        <w:tc>
          <w:tcPr/>
          <w:p>
            <w:pPr>
              <w:pStyle w:val="Compact"/>
              <w:jc w:val="left"/>
            </w:pPr>
            <w:r>
              <w:t xml:space="preserve">1</w:t>
            </w:r>
          </w:p>
        </w:tc>
        <w:tc>
          <w:tcPr/>
          <w:p>
            <w:pPr>
              <w:pStyle w:val="Compact"/>
              <w:jc w:val="left"/>
            </w:pPr>
            <w:r>
              <w:t xml:space="preserve">Certified Teacher Secondary recruitment and placement services for Mathematics, Science, and Social Studies departments across all secondary schools in Indonesia Jakarta</w:t>
            </w:r>
          </w:p>
        </w:tc>
        <w:tc>
          <w:tcPr/>
          <w:p>
            <w:pPr>
              <w:pStyle w:val="Compact"/>
              <w:jc w:val="left"/>
            </w:pPr>
            <w:r>
              <w:t xml:space="preserve">1,250</w:t>
            </w:r>
          </w:p>
        </w:tc>
        <w:tc>
          <w:tcPr/>
          <w:p>
            <w:pPr>
              <w:pStyle w:val="Compact"/>
              <w:jc w:val="left"/>
            </w:pPr>
            <w:r>
              <w:t xml:space="preserve">Positions</w:t>
            </w:r>
          </w:p>
        </w:tc>
        <w:tc>
          <w:tcPr/>
          <w:p>
            <w:pPr>
              <w:pStyle w:val="Compact"/>
              <w:jc w:val="left"/>
            </w:pPr>
            <w:r>
              <w:t xml:space="preserve">8,500,000</w:t>
            </w:r>
          </w:p>
        </w:tc>
        <w:tc>
          <w:tcPr/>
          <w:p>
            <w:pPr>
              <w:pStyle w:val="Compact"/>
              <w:jc w:val="left"/>
            </w:pPr>
            <w:r>
              <w:t xml:space="preserve">10,625,000,000</w:t>
            </w:r>
          </w:p>
        </w:tc>
      </w:tr>
      <w:tr>
        <w:tc>
          <w:tcPr/>
          <w:p>
            <w:pPr>
              <w:pStyle w:val="Compact"/>
              <w:jc w:val="left"/>
            </w:pPr>
            <w:r>
              <w:t xml:space="preserve">2</w:t>
            </w:r>
          </w:p>
        </w:tc>
        <w:tc>
          <w:tcPr/>
          <w:p>
            <w:pPr>
              <w:pStyle w:val="Compact"/>
              <w:jc w:val="left"/>
            </w:pPr>
            <w:r>
              <w:t xml:space="preserve">Professional development workshop series for Teacher Secondary personnel (minimum 40 contact hours per educator per semester)</w:t>
            </w:r>
          </w:p>
        </w:tc>
        <w:tc>
          <w:tcPr/>
          <w:p>
            <w:pPr>
              <w:pStyle w:val="Compact"/>
              <w:jc w:val="left"/>
            </w:pPr>
            <w:r>
              <w:t xml:space="preserve">1,250</w:t>
            </w:r>
          </w:p>
        </w:tc>
        <w:tc>
          <w:tcPr/>
          <w:p>
            <w:pPr>
              <w:pStyle w:val="Compact"/>
              <w:jc w:val="left"/>
            </w:pPr>
            <w:r>
              <w:t xml:space="preserve">Participants</w:t>
            </w:r>
          </w:p>
        </w:tc>
        <w:tc>
          <w:tcPr/>
          <w:p>
            <w:pPr>
              <w:pStyle w:val="Compact"/>
              <w:jc w:val="left"/>
            </w:pPr>
            <w:r>
              <w:t xml:space="preserve">3,200,000</w:t>
            </w:r>
          </w:p>
        </w:tc>
        <w:tc>
          <w:tcPr/>
          <w:p>
            <w:pPr>
              <w:pStyle w:val="Compact"/>
              <w:jc w:val="left"/>
            </w:pPr>
            <w:r>
              <w:t xml:space="preserve">4,000,000,000</w:t>
            </w:r>
          </w:p>
        </w:tc>
      </w:tr>
      <w:tr>
        <w:tc>
          <w:tcPr/>
          <w:p>
            <w:pPr>
              <w:pStyle w:val="Compact"/>
              <w:jc w:val="left"/>
            </w:pPr>
            <w:r>
              <w:t xml:space="preserve">3</w:t>
            </w:r>
          </w:p>
        </w:tc>
        <w:tc>
          <w:tcPr/>
          <w:p>
            <w:pPr>
              <w:pStyle w:val="Compact"/>
              <w:jc w:val="left"/>
            </w:pPr>
            <w:r>
              <w:t xml:space="preserve">Curriculum-aligned instructional materials and teaching kits for Teacher Secondary use (Kurikulum Merdeka compliant)</w:t>
            </w:r>
          </w:p>
        </w:tc>
        <w:tc>
          <w:tcPr/>
          <w:p>
            <w:pPr>
              <w:pStyle w:val="Compact"/>
              <w:jc w:val="left"/>
            </w:pPr>
            <w:r>
              <w:t xml:space="preserve">1,250</w:t>
            </w:r>
          </w:p>
        </w:tc>
        <w:tc>
          <w:tcPr/>
          <w:p>
            <w:pPr>
              <w:pStyle w:val="Compact"/>
              <w:jc w:val="left"/>
            </w:pPr>
            <w:r>
              <w:t xml:space="preserve">Sets</w:t>
            </w:r>
          </w:p>
        </w:tc>
        <w:tc>
          <w:tcPr/>
          <w:p>
            <w:pPr>
              <w:pStyle w:val="Compact"/>
              <w:jc w:val="left"/>
            </w:pPr>
            <w:r>
              <w:t xml:space="preserve">1,850,000</w:t>
            </w:r>
          </w:p>
        </w:tc>
        <w:tc>
          <w:tcPr/>
          <w:p>
            <w:pPr>
              <w:pStyle w:val="Compact"/>
              <w:jc w:val="left"/>
            </w:pPr>
            <w:r>
              <w:t xml:space="preserve">2,312,500,000</w:t>
            </w:r>
          </w:p>
        </w:tc>
      </w:tr>
      <w:tr>
        <w:tc>
          <w:tcPr/>
          <w:p>
            <w:pPr>
              <w:pStyle w:val="Compact"/>
              <w:jc w:val="left"/>
            </w:pPr>
            <w:r>
              <w:t xml:space="preserve">4</w:t>
            </w:r>
          </w:p>
        </w:tc>
        <w:tc>
          <w:tcPr/>
          <w:p>
            <w:pPr>
              <w:pStyle w:val="Compact"/>
              <w:jc w:val="left"/>
            </w:pPr>
            <w:r>
              <w:t xml:space="preserve">Digital learning platform licenses and e-learning infrastructure for Teacher Secondary integration in Indonesia Jakarta classrooms</w:t>
            </w:r>
          </w:p>
        </w:tc>
        <w:tc>
          <w:tcPr/>
          <w:p>
            <w:pPr>
              <w:pStyle w:val="Compact"/>
              <w:jc w:val="left"/>
            </w:pPr>
            <w:r>
              <w:t xml:space="preserve">320</w:t>
            </w:r>
          </w:p>
        </w:tc>
        <w:tc>
          <w:tcPr/>
          <w:p>
            <w:pPr>
              <w:pStyle w:val="Compact"/>
              <w:jc w:val="left"/>
            </w:pPr>
            <w:r>
              <w:t xml:space="preserve">Schools</w:t>
            </w:r>
          </w:p>
        </w:tc>
        <w:tc>
          <w:tcPr/>
          <w:p>
            <w:pPr>
              <w:pStyle w:val="Compact"/>
              <w:jc w:val="left"/>
            </w:pPr>
            <w:r>
              <w:t xml:space="preserve">45,000,000</w:t>
            </w:r>
          </w:p>
        </w:tc>
        <w:tc>
          <w:tcPr/>
          <w:p>
            <w:pPr>
              <w:pStyle w:val="Compact"/>
              <w:jc w:val="left"/>
            </w:pPr>
            <w:r>
              <w:t xml:space="preserve">14,400,000,000</w:t>
            </w:r>
          </w:p>
        </w:tc>
      </w:tr>
      <w:tr>
        <w:tc>
          <w:tcPr/>
          <w:p>
            <w:pPr>
              <w:pStyle w:val="Compact"/>
              <w:jc w:val="left"/>
            </w:pPr>
            <w:r>
              <w:t xml:space="preserve">5</w:t>
            </w:r>
          </w:p>
        </w:tc>
        <w:tc>
          <w:tcPr/>
          <w:p>
            <w:pPr>
              <w:pStyle w:val="Compact"/>
              <w:jc w:val="left"/>
            </w:pPr>
            <w:r>
              <w:t xml:space="preserve">Ongoing pedagogical mentoring and classroom observation services for Teacher Secondary staff (12-month contract)</w:t>
            </w:r>
          </w:p>
        </w:tc>
        <w:tc>
          <w:tcPr/>
          <w:p>
            <w:pPr>
              <w:pStyle w:val="Compact"/>
              <w:jc w:val="left"/>
            </w:pPr>
            <w:r>
              <w:t xml:space="preserve">1,250</w:t>
            </w:r>
          </w:p>
        </w:tc>
        <w:tc>
          <w:tcPr/>
          <w:p>
            <w:pPr>
              <w:pStyle w:val="Compact"/>
              <w:jc w:val="left"/>
            </w:pPr>
            <w:r>
              <w:t xml:space="preserve">Teachers</w:t>
            </w:r>
          </w:p>
        </w:tc>
        <w:tc>
          <w:tcPr/>
          <w:p>
            <w:pPr>
              <w:pStyle w:val="Compact"/>
              <w:jc w:val="left"/>
            </w:pPr>
            <w:r>
              <w:t xml:space="preserve">2,100,000</w:t>
            </w:r>
          </w:p>
        </w:tc>
        <w:tc>
          <w:tcPr/>
          <w:p>
            <w:pPr>
              <w:pStyle w:val="Compact"/>
              <w:jc w:val="left"/>
            </w:pPr>
            <w:r>
              <w:t xml:space="preserve">2,625,000,000</w:t>
            </w:r>
          </w:p>
        </w:tc>
      </w:tr>
      <w:tr>
        <w:tc>
          <w:tcPr/>
          <w:p>
            <w:pPr>
              <w:pStyle w:val="Compact"/>
              <w:jc w:val="left"/>
            </w:pPr>
            <w:r>
              <w:t xml:space="preserve">6</w:t>
            </w:r>
          </w:p>
        </w:tc>
        <w:tc>
          <w:tcPr/>
          <w:p>
            <w:pPr>
              <w:pStyle w:val="Compact"/>
              <w:jc w:val="left"/>
            </w:pPr>
            <w:r>
              <w:t xml:space="preserve">Assessment and evaluation toolkits for monitoring Teacher Secondary performance and student outcomes in Indonesia Jakarta</w:t>
            </w:r>
          </w:p>
        </w:tc>
        <w:tc>
          <w:tcPr/>
          <w:p>
            <w:pPr>
              <w:pStyle w:val="Compact"/>
              <w:jc w:val="left"/>
            </w:pPr>
            <w:r>
              <w:t xml:space="preserve">320</w:t>
            </w:r>
          </w:p>
        </w:tc>
        <w:tc>
          <w:tcPr/>
          <w:p>
            <w:pPr>
              <w:pStyle w:val="Compact"/>
              <w:jc w:val="left"/>
            </w:pPr>
            <w:r>
              <w:t xml:space="preserve">Schools</w:t>
            </w:r>
          </w:p>
        </w:tc>
        <w:tc>
          <w:tcPr/>
          <w:p>
            <w:pPr>
              <w:pStyle w:val="Compact"/>
              <w:jc w:val="left"/>
            </w:pPr>
            <w:r>
              <w:t xml:space="preserve">7,500,000</w:t>
            </w:r>
          </w:p>
        </w:tc>
        <w:tc>
          <w:tcPr/>
          <w:p>
            <w:pPr>
              <w:pStyle w:val="Compact"/>
              <w:jc w:val="left"/>
            </w:pPr>
            <w:r>
              <w:t xml:space="preserve">2,400,000,000</w:t>
            </w:r>
          </w:p>
        </w:tc>
      </w:tr>
      <w:tr>
        <w:tc>
          <w:tcPr>
            <w:gridSpan w:val="5"/>
          </w:tcPr>
          <w:p>
            <w:pPr>
              <w:pStyle w:val="Compact"/>
              <w:jc w:val="right"/>
            </w:pPr>
            <w:r>
              <w:t xml:space="preserve">GRAND TOTAL (IDR)</w:t>
            </w:r>
          </w:p>
        </w:tc>
        <w:tc>
          <w:tcPr/>
          <w:p>
            <w:pPr>
              <w:pStyle w:val="Compact"/>
              <w:jc w:val="left"/>
            </w:pPr>
            <w:r>
              <w:t xml:space="preserve">36,362,500,000</w:t>
            </w:r>
          </w:p>
        </w:tc>
      </w:tr>
    </w:tbl>
    <w:p>
      <w:pPr>
        <w:pStyle w:val="BodyText"/>
      </w:pPr>
      <w:r>
        <w:t xml:space="preserve">4. TERMS AND CONDITIONS</w:t>
      </w:r>
    </w:p>
    <w:p>
      <w:pPr>
        <w:numPr>
          <w:ilvl w:val="0"/>
          <w:numId w:val="1001"/>
        </w:numPr>
        <w:pStyle w:val="Compact"/>
      </w:pPr>
      <w:r>
        <w:t xml:space="preserve">This Purchase Order is governed by the laws of the Republic of Indonesia and the specific procurement regulations of the Special Capital Region of Jakarta (DKI Jakarta). All parties acknowledge that this transaction is executed within the jurisdiction of Indonesia Jakarta.</w:t>
      </w:r>
    </w:p>
    <w:p>
      <w:pPr>
        <w:numPr>
          <w:ilvl w:val="0"/>
          <w:numId w:val="1001"/>
        </w:numPr>
        <w:pStyle w:val="Compact"/>
      </w:pPr>
      <w:r>
        <w:t xml:space="preserve">The Seller shall ensure that all Teacher Secondary personnel recruited under this Purchase Order hold valid teaching certifications (Sertifikat Pendidik) issued by the Indonesian Ministry of Education, Culture, Research, and Technology, and possess a minimum of a Bachelor's degree (S1) in their respective subject areas.</w:t>
      </w:r>
    </w:p>
    <w:p>
      <w:pPr>
        <w:numPr>
          <w:ilvl w:val="0"/>
          <w:numId w:val="1001"/>
        </w:numPr>
        <w:pStyle w:val="Compact"/>
      </w:pPr>
      <w:r>
        <w:t xml:space="preserve">Delivery and deployment of all Teacher Secondary staff and associated materials shall be completed no later than 28 February 2025, prior to the commencement of the 2025/2026 academic year in Indonesia Jakarta.</w:t>
      </w:r>
    </w:p>
    <w:p>
      <w:pPr>
        <w:numPr>
          <w:ilvl w:val="0"/>
          <w:numId w:val="1001"/>
        </w:numPr>
        <w:pStyle w:val="Compact"/>
      </w:pPr>
      <w:r>
        <w:t xml:space="preserve">Payment shall be processed in three installments: 40% upon contract execution, 40% upon successful deployment and initial training completion, and 20% upon final acceptance and performance verification at the end of the first semester.</w:t>
      </w:r>
    </w:p>
    <w:p>
      <w:pPr>
        <w:numPr>
          <w:ilvl w:val="0"/>
          <w:numId w:val="1001"/>
        </w:numPr>
        <w:pStyle w:val="Compact"/>
      </w:pPr>
      <w:r>
        <w:t xml:space="preserve">The Seller is responsible for all logistical arrangements, transportation, and onboarding of Teacher Secondary personnel to their assigned schools throughout the five administrative cities of Indonesia Jakarta (Jakarta Pusat, Jakarta Selatan, Jakarta Barat, Jakarta Utara, and Jakarta Timur).</w:t>
      </w:r>
    </w:p>
    <w:p>
      <w:pPr>
        <w:numPr>
          <w:ilvl w:val="0"/>
          <w:numId w:val="1001"/>
        </w:numPr>
        <w:pStyle w:val="Compact"/>
      </w:pPr>
      <w:r>
        <w:t xml:space="preserve">All instructional materials and digital platforms procured under this Purchase Order must comply with the Kurikulum Merdeka framework and be approved by the Directorate of Secondary Education, Jakarta Provincial Education Office, before deployment in any classroom within Indonesia Jakarta.</w:t>
      </w:r>
    </w:p>
    <w:p>
      <w:pPr>
        <w:numPr>
          <w:ilvl w:val="0"/>
          <w:numId w:val="1001"/>
        </w:numPr>
        <w:pStyle w:val="Compact"/>
      </w:pPr>
      <w:r>
        <w:t xml:space="preserve">Any modifications, amendments, or cancellations to this Purchase Order must be submitted in writing and approved by both parties. Verbal agreements are not binding.</w:t>
      </w:r>
    </w:p>
    <w:p>
      <w:pPr>
        <w:numPr>
          <w:ilvl w:val="0"/>
          <w:numId w:val="1001"/>
        </w:numPr>
        <w:pStyle w:val="Compact"/>
      </w:pPr>
      <w:r>
        <w:t xml:space="preserve">The Seller warrants that all Teacher Secondary personnel engaged under this Purchase Order shall maintain professional conduct, adhere to the Code of Ethics for Indonesian Educators, and comply with all local regulations applicable in Indonesia Jakarta.</w:t>
      </w:r>
    </w:p>
    <w:p>
      <w:pPr>
        <w:numPr>
          <w:ilvl w:val="0"/>
          <w:numId w:val="1001"/>
        </w:numPr>
        <w:pStyle w:val="Compact"/>
      </w:pPr>
      <w:r>
        <w:t xml:space="preserve">Disputes arising from this Purchase Order shall be resolved through mediation at the Jakarta Provincial Education Office, and if unresolved, through the competent courts in Indonesia Jakarta.</w:t>
      </w:r>
    </w:p>
    <w:p>
      <w:pPr>
        <w:numPr>
          <w:ilvl w:val="0"/>
          <w:numId w:val="1001"/>
        </w:numPr>
        <w:pStyle w:val="Compact"/>
      </w:pPr>
      <w:r>
        <w:t xml:space="preserve">This Purchase Order shall remain valid until 31 March 2025. Failure to execute the procurement within this period shall render this document null and void unless extended in writing by the Buyer.</w:t>
      </w:r>
    </w:p>
    <w:p>
      <w:pPr>
        <w:pStyle w:val="FirstParagraph"/>
      </w:pPr>
      <w:r>
        <w:t xml:space="preserve">5. AUTHORIZATION AND SIGNATURES</w:t>
      </w:r>
    </w:p>
    <w:p>
      <w:pPr>
        <w:pStyle w:val="BodyText"/>
      </w:pPr>
      <w:r>
        <w:rPr>
          <w:bCs/>
          <w:b/>
        </w:rPr>
        <w:t xml:space="preserve">For and on behalf of the Buyer:</w:t>
      </w:r>
    </w:p>
    <w:p>
      <w:pPr>
        <w:pStyle w:val="BodyText"/>
      </w:pPr>
      <w:r>
        <w:t xml:space="preserve">Direktorat Pendidikan Menengah</w:t>
      </w:r>
      <w:r>
        <w:br/>
      </w:r>
      <w:r>
        <w:t xml:space="preserve">Dinas Pendidikan Provinsi DKI Jakarta</w:t>
      </w:r>
    </w:p>
    <w:p>
      <w:pPr>
        <w:pStyle w:val="BodyText"/>
      </w:pPr>
      <w:r>
        <w:rPr>
          <w:bCs/>
          <w:b/>
        </w:rPr>
        <w:t xml:space="preserve">Name:</w:t>
      </w:r>
      <w:r>
        <w:t xml:space="preserve"> </w:t>
      </w:r>
      <w:r>
        <w:t xml:space="preserve">Dr. Hendra Wijaya, M.Pd.</w:t>
      </w:r>
    </w:p>
    <w:p>
      <w:pPr>
        <w:pStyle w:val="BodyText"/>
      </w:pPr>
      <w:r>
        <w:rPr>
          <w:bCs/>
          <w:b/>
        </w:rPr>
        <w:t xml:space="preserve">Position:</w:t>
      </w:r>
      <w:r>
        <w:t xml:space="preserve"> </w:t>
      </w:r>
      <w:r>
        <w:t xml:space="preserve">Director of Secondary Education</w:t>
      </w:r>
    </w:p>
    <w:p>
      <w:pPr>
        <w:pStyle w:val="BodyText"/>
      </w:pPr>
      <w:r>
        <w:rPr>
          <w:bCs/>
          <w:b/>
        </w:rPr>
        <w:t xml:space="preserve">Date:</w:t>
      </w:r>
      <w:r>
        <w:t xml:space="preserve"> </w:t>
      </w:r>
      <w:r>
        <w:t xml:space="preserve">15 January 2025</w:t>
      </w:r>
    </w:p>
    <w:p>
      <w:pPr>
        <w:pStyle w:val="BodyText"/>
      </w:pPr>
      <w:r>
        <w:rPr>
          <w:bCs/>
          <w:b/>
        </w:rPr>
        <w:t xml:space="preserve">For and on behalf of the Seller:</w:t>
      </w:r>
    </w:p>
    <w:p>
      <w:pPr>
        <w:pStyle w:val="BodyText"/>
      </w:pPr>
      <w:r>
        <w:t xml:space="preserve">PT Edukasi Nusantara Sejahtera</w:t>
      </w:r>
    </w:p>
    <w:p>
      <w:pPr>
        <w:pStyle w:val="BodyText"/>
      </w:pPr>
      <w:r>
        <w:rPr>
          <w:bCs/>
          <w:b/>
        </w:rPr>
        <w:t xml:space="preserve">Name:</w:t>
      </w:r>
      <w:r>
        <w:t xml:space="preserve"> </w:t>
      </w:r>
      <w:r>
        <w:t xml:space="preserve">Ir. Siti Rahmawati, M.M.</w:t>
      </w:r>
    </w:p>
    <w:p>
      <w:pPr>
        <w:pStyle w:val="BodyText"/>
      </w:pPr>
      <w:r>
        <w:rPr>
          <w:bCs/>
          <w:b/>
        </w:rPr>
        <w:t xml:space="preserve">Position:</w:t>
      </w:r>
      <w:r>
        <w:t xml:space="preserve"> </w:t>
      </w:r>
      <w:r>
        <w:t xml:space="preserve">Chief Executive Officer</w:t>
      </w:r>
    </w:p>
    <w:p>
      <w:pPr>
        <w:pStyle w:val="BodyText"/>
      </w:pPr>
      <w:r>
        <w:rPr>
          <w:bCs/>
          <w:b/>
        </w:rPr>
        <w:t xml:space="preserve">Date:</w:t>
      </w:r>
      <w:r>
        <w:t xml:space="preserve"> </w:t>
      </w:r>
      <w:r>
        <w:t xml:space="preserve">15 January 2025</w:t>
      </w:r>
    </w:p>
    <w:p>
      <w:pPr>
        <w:pStyle w:val="BodyText"/>
      </w:pPr>
      <w:r>
        <w:t xml:space="preserve">This Purchase Order (PO-JKT-SEC-2025-0047) is an official document of the Jakarta Provincial Education Office, Indonesia Jakarta. Unauthorized reproduction or distribution is prohibited. For inquiries, contact the Procurement Division at Jl. Pintu I Besar No. 3, Jakarta Pusat, Indonesia Jakarta, 10110. Telephone: +62-21-380-XXXX. Email: pengadaan@disdik.jakarta.go.id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Indonesia Jakarta</dc:title>
  <dc:creator/>
  <dc:language>en</dc:language>
  <cp:keywords/>
  <dcterms:created xsi:type="dcterms:W3CDTF">2026-10-10T04:17:12Z</dcterms:created>
  <dcterms:modified xsi:type="dcterms:W3CDTF">2026-10-10T04:17:12Z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