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Iraq</w:t>
      </w:r>
      <w:r>
        <w:t xml:space="preserve"> </w:t>
      </w:r>
      <w:r>
        <w:t xml:space="preserve">Baghdad</w:t>
      </w:r>
    </w:p>
    <w:bookmarkStart w:id="22" w:name="purchase-order"/>
    <w:p>
      <w:pPr>
        <w:pStyle w:val="Heading1"/>
      </w:pPr>
      <w:r>
        <w:t xml:space="preserve">PURCHASE ORDER</w:t>
      </w:r>
    </w:p>
    <w:bookmarkStart w:id="20" w:name="ministry-of-education-republic-of-iraq"/>
    <w:p>
      <w:pPr>
        <w:pStyle w:val="Heading2"/>
      </w:pPr>
      <w:r>
        <w:t xml:space="preserve">Ministry of Education – Republic of Iraq</w:t>
      </w:r>
    </w:p>
    <w:bookmarkEnd w:id="20"/>
    <w:bookmarkStart w:id="21" w:name="X971422f620e67146bd297ac3e841e51d563763b"/>
    <w:p>
      <w:pPr>
        <w:pStyle w:val="Heading2"/>
      </w:pPr>
      <w:r>
        <w:t xml:space="preserve">Baghdad Directorate of Secondary Education</w:t>
      </w:r>
    </w:p>
    <w:p>
      <w:pPr>
        <w:pStyle w:val="FirstParagraph"/>
      </w:pPr>
      <w:r>
        <w:t xml:space="preserve">PO No: IQ-BGD-SEC-2025-04782</w:t>
      </w:r>
    </w:p>
    <w:bookmarkEnd w:id="21"/>
    <w:bookmarkEnd w:id="22"/>
    <w:bookmarkStart w:id="23" w:name="purchasing-authority-buyer"/>
    <w:p>
      <w:pPr>
        <w:pStyle w:val="Heading3"/>
      </w:pPr>
      <w:r>
        <w:t xml:space="preserve">Purchasing Authority (Buyer)</w:t>
      </w:r>
    </w:p>
    <w:p>
      <w:pPr>
        <w:pStyle w:val="FirstParagraph"/>
      </w:pPr>
      <w:r>
        <w:rPr>
          <w:bCs/>
          <w:b/>
        </w:rPr>
        <w:t xml:space="preserve">Organization:</w:t>
      </w:r>
      <w:r>
        <w:t xml:space="preserve"> </w:t>
      </w:r>
      <w:r>
        <w:t xml:space="preserve">Ministry of Education, Republic of Iraq</w:t>
      </w:r>
    </w:p>
    <w:p>
      <w:pPr>
        <w:pStyle w:val="BodyText"/>
      </w:pPr>
      <w:r>
        <w:rPr>
          <w:bCs/>
          <w:b/>
        </w:rPr>
        <w:t xml:space="preserve">Department:</w:t>
      </w:r>
      <w:r>
        <w:t xml:space="preserve"> </w:t>
      </w:r>
      <w:r>
        <w:t xml:space="preserve">Baghdad Directorate of Secondary Education</w:t>
      </w:r>
    </w:p>
    <w:p>
      <w:pPr>
        <w:pStyle w:val="BodyText"/>
      </w:pPr>
      <w:r>
        <w:rPr>
          <w:bCs/>
          <w:b/>
        </w:rPr>
        <w:t xml:space="preserve">Address:</w:t>
      </w:r>
      <w:r>
        <w:t xml:space="preserve"> </w:t>
      </w:r>
      <w:r>
        <w:t xml:space="preserve">Al-Mansour District, Baghdad, Iraq</w:t>
      </w:r>
    </w:p>
    <w:p>
      <w:pPr>
        <w:pStyle w:val="BodyText"/>
      </w:pPr>
      <w:r>
        <w:rPr>
          <w:bCs/>
          <w:b/>
        </w:rPr>
        <w:t xml:space="preserve">Contact:</w:t>
      </w:r>
      <w:r>
        <w:t xml:space="preserve"> </w:t>
      </w:r>
      <w:r>
        <w:t xml:space="preserve">Procurement Division, Tel: +964-1-XXXXXXX</w:t>
      </w:r>
    </w:p>
    <w:p>
      <w:pPr>
        <w:pStyle w:val="BodyText"/>
      </w:pPr>
      <w:r>
        <w:rPr>
          <w:bCs/>
          <w:b/>
        </w:rPr>
        <w:t xml:space="preserve">Email:</w:t>
      </w:r>
      <w:r>
        <w:t xml:space="preserve"> </w:t>
      </w:r>
      <w:r>
        <w:t xml:space="preserve">procurement.baghdad@moe.gov.iq</w:t>
      </w:r>
    </w:p>
    <w:p>
      <w:pPr>
        <w:pStyle w:val="BodyText"/>
      </w:pPr>
      <w:r>
        <w:rPr>
          <w:bCs/>
          <w:b/>
        </w:rPr>
        <w:t xml:space="preserve">Authorized Officer:</w:t>
      </w:r>
      <w:r>
        <w:t xml:space="preserve"> </w:t>
      </w:r>
      <w:r>
        <w:t xml:space="preserve">Dr. Khalid Al-Rashid, Director of Secondary Education, Baghdad</w:t>
      </w:r>
    </w:p>
    <w:bookmarkEnd w:id="23"/>
    <w:bookmarkStart w:id="24"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Al-Madina Educational Services Co., Ltd.</w:t>
      </w:r>
    </w:p>
    <w:p>
      <w:pPr>
        <w:pStyle w:val="BodyText"/>
      </w:pPr>
      <w:r>
        <w:rPr>
          <w:bCs/>
          <w:b/>
        </w:rPr>
        <w:t xml:space="preserve">Address:</w:t>
      </w:r>
      <w:r>
        <w:t xml:space="preserve"> </w:t>
      </w:r>
      <w:r>
        <w:t xml:space="preserve">Al-Karrada Street, Baghdad, Iraq</w:t>
      </w:r>
    </w:p>
    <w:p>
      <w:pPr>
        <w:pStyle w:val="BodyText"/>
      </w:pPr>
      <w:r>
        <w:rPr>
          <w:bCs/>
          <w:b/>
        </w:rPr>
        <w:t xml:space="preserve">Commercial Registration:</w:t>
      </w:r>
      <w:r>
        <w:t xml:space="preserve"> </w:t>
      </w:r>
      <w:r>
        <w:t xml:space="preserve">CR-2019-44821</w:t>
      </w:r>
    </w:p>
    <w:p>
      <w:pPr>
        <w:pStyle w:val="BodyText"/>
      </w:pPr>
      <w:r>
        <w:rPr>
          <w:bCs/>
          <w:b/>
        </w:rPr>
        <w:t xml:space="preserve">Tax ID:</w:t>
      </w:r>
      <w:r>
        <w:t xml:space="preserve"> </w:t>
      </w:r>
      <w:r>
        <w:t xml:space="preserve">310-556-789</w:t>
      </w:r>
    </w:p>
    <w:p>
      <w:pPr>
        <w:pStyle w:val="BodyText"/>
      </w:pPr>
      <w:r>
        <w:rPr>
          <w:bCs/>
          <w:b/>
        </w:rPr>
        <w:t xml:space="preserve">Contact:</w:t>
      </w:r>
      <w:r>
        <w:t xml:space="preserve"> </w:t>
      </w:r>
      <w:r>
        <w:t xml:space="preserve">Mr. Omar Al-Jabiri, General Manager</w:t>
      </w:r>
    </w:p>
    <w:p>
      <w:pPr>
        <w:pStyle w:val="BodyText"/>
      </w:pPr>
      <w:r>
        <w:rPr>
          <w:bCs/>
          <w:b/>
        </w:rPr>
        <w:t xml:space="preserve">Email:</w:t>
      </w:r>
      <w:r>
        <w:t xml:space="preserve"> </w:t>
      </w:r>
      <w:r>
        <w:t xml:space="preserve">info@almadina-edu.iq</w:t>
      </w:r>
    </w:p>
    <w:bookmarkEnd w:id="24"/>
    <w:bookmarkStart w:id="25"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Commencement Date:</w:t>
      </w:r>
      <w:r>
        <w:t xml:space="preserve"> </w:t>
      </w:r>
      <w:r>
        <w:t xml:space="preserve">1 September 2025</w:t>
      </w:r>
    </w:p>
    <w:p>
      <w:pPr>
        <w:pStyle w:val="BodyText"/>
      </w:pPr>
      <w:r>
        <w:rPr>
          <w:bCs/>
          <w:b/>
        </w:rPr>
        <w:t xml:space="preserve">Contract Duration:</w:t>
      </w:r>
      <w:r>
        <w:t xml:space="preserve"> </w:t>
      </w:r>
      <w:r>
        <w:t xml:space="preserve">One Academic Year (September 2025 – June 2026)</w:t>
      </w:r>
    </w:p>
    <w:p>
      <w:pPr>
        <w:pStyle w:val="BodyText"/>
      </w:pPr>
      <w:r>
        <w:rPr>
          <w:bCs/>
          <w:b/>
        </w:rPr>
        <w:t xml:space="preserve">Payment Terms:</w:t>
      </w:r>
      <w:r>
        <w:t xml:space="preserve"> </w:t>
      </w:r>
      <w:r>
        <w:t xml:space="preserve">Monthly, within 30 days of invoice</w:t>
      </w:r>
    </w:p>
    <w:p>
      <w:pPr>
        <w:pStyle w:val="BodyText"/>
      </w:pPr>
      <w:r>
        <w:rPr>
          <w:bCs/>
          <w:b/>
        </w:rPr>
        <w:t xml:space="preserve">Currency:</w:t>
      </w:r>
      <w:r>
        <w:t xml:space="preserve"> </w:t>
      </w:r>
      <w:r>
        <w:t xml:space="preserve">Iraqi Dinar (IQD)</w:t>
      </w:r>
    </w:p>
    <w:bookmarkEnd w:id="25"/>
    <w:bookmarkStart w:id="26" w:name="project-reference"/>
    <w:p>
      <w:pPr>
        <w:pStyle w:val="Heading3"/>
      </w:pPr>
      <w:r>
        <w:t xml:space="preserve">Project Reference</w:t>
      </w:r>
    </w:p>
    <w:p>
      <w:pPr>
        <w:pStyle w:val="FirstParagraph"/>
      </w:pPr>
      <w:r>
        <w:rPr>
          <w:bCs/>
          <w:b/>
        </w:rPr>
        <w:t xml:space="preserve">Project Title:</w:t>
      </w:r>
      <w:r>
        <w:t xml:space="preserve"> </w:t>
      </w:r>
      <w:r>
        <w:t xml:space="preserve">Teacher Secondary Recruitment &amp; Support Program – Baghdad</w:t>
      </w:r>
    </w:p>
    <w:p>
      <w:pPr>
        <w:pStyle w:val="BodyText"/>
      </w:pPr>
      <w:r>
        <w:rPr>
          <w:bCs/>
          <w:b/>
        </w:rPr>
        <w:t xml:space="preserve">Budget Code:</w:t>
      </w:r>
      <w:r>
        <w:t xml:space="preserve"> </w:t>
      </w:r>
      <w:r>
        <w:t xml:space="preserve">MOE-BGD-SEC-2025-EDU</w:t>
      </w:r>
    </w:p>
    <w:p>
      <w:pPr>
        <w:pStyle w:val="BodyText"/>
      </w:pPr>
      <w:r>
        <w:rPr>
          <w:bCs/>
          <w:b/>
        </w:rPr>
        <w:t xml:space="preserve">Tender Reference:</w:t>
      </w:r>
      <w:r>
        <w:t xml:space="preserve"> </w:t>
      </w:r>
      <w:r>
        <w:t xml:space="preserve">TND-2025-SEC-0034</w:t>
      </w:r>
    </w:p>
    <w:p>
      <w:pPr>
        <w:pStyle w:val="BodyText"/>
      </w:pPr>
      <w:r>
        <w:rPr>
          <w:bCs/>
          <w:b/>
        </w:rPr>
        <w:t xml:space="preserve">Scope Location:</w:t>
      </w:r>
      <w:r>
        <w:t xml:space="preserve"> </w:t>
      </w:r>
      <w:r>
        <w:t xml:space="preserve">All Secondary Schools, Baghdad Governorate, Iraq</w:t>
      </w:r>
    </w:p>
    <w:bookmarkEnd w:id="26"/>
    <w:bookmarkStart w:id="27" w:name="Xadbb1baad6910b84ae94ad8cba809762df0b6dc"/>
    <w:p>
      <w:pPr>
        <w:pStyle w:val="Heading2"/>
      </w:pPr>
      <w:r>
        <w:t xml:space="preserve">1. Scope of Purchase – Teacher Secondary Services and Materials</w:t>
      </w:r>
    </w:p>
    <w:p>
      <w:pPr>
        <w:pStyle w:val="FirstParagraph"/>
      </w:pPr>
      <w:r>
        <w:t xml:space="preserve">This</w:t>
      </w:r>
      <w:r>
        <w:t xml:space="preserve"> </w:t>
      </w:r>
      <w:r>
        <w:t xml:space="preserve">Purchase Order</w:t>
      </w:r>
      <w:r>
        <w:t xml:space="preserve"> </w:t>
      </w:r>
      <w:r>
        <w:t xml:space="preserve">is issued by the Baghdad Directorate of Secondary Education, Ministry of Education, Republic of Iraq, to procure the services and associated materials necessary for the deployment, training, and ongoing support of</w:t>
      </w:r>
      <w:r>
        <w:t xml:space="preserve"> </w:t>
      </w:r>
      <w:r>
        <w:t xml:space="preserve">Teacher Secondary</w:t>
      </w:r>
      <w:r>
        <w:t xml:space="preserve"> </w:t>
      </w:r>
      <w:r>
        <w:t xml:space="preserve">personnel across all public secondary schools in</w:t>
      </w:r>
      <w:r>
        <w:t xml:space="preserve"> </w:t>
      </w:r>
      <w:r>
        <w:t xml:space="preserve">Iraq Baghdad</w:t>
      </w:r>
      <w:r>
        <w:t xml:space="preserve">. The scope encompasses the recruitment facilitation, professional development, instructional material supply, and administrative support for qualified secondary-level teachers assigned to grades 9 through 12 in the Baghdad Governorate.</w:t>
      </w:r>
    </w:p>
    <w:bookmarkEnd w:id="27"/>
    <w:bookmarkStart w:id="28" w:name="itemized-purchase-order-breakdown"/>
    <w:p>
      <w:pPr>
        <w:pStyle w:val="Heading2"/>
      </w:pPr>
      <w:r>
        <w:t xml:space="preserve">2. Itemized Purchase Order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Recruitment and onboarding services for Teacher Secondary candidates (Mathematics, Physics, Chemistry, Biology, Arabic, English, Social Studies)</w:t>
            </w:r>
          </w:p>
        </w:tc>
        <w:tc>
          <w:tcPr/>
          <w:p>
            <w:pPr>
              <w:pStyle w:val="Compact"/>
              <w:jc w:val="left"/>
            </w:pPr>
            <w:r>
              <w:t xml:space="preserve">320</w:t>
            </w:r>
          </w:p>
        </w:tc>
        <w:tc>
          <w:tcPr/>
          <w:p>
            <w:pPr>
              <w:pStyle w:val="Compact"/>
              <w:jc w:val="left"/>
            </w:pPr>
            <w:r>
              <w:t xml:space="preserve">Teachers</w:t>
            </w:r>
          </w:p>
        </w:tc>
        <w:tc>
          <w:tcPr/>
          <w:p>
            <w:pPr>
              <w:pStyle w:val="Compact"/>
              <w:jc w:val="left"/>
            </w:pPr>
            <w:r>
              <w:t xml:space="preserve">850,000</w:t>
            </w:r>
          </w:p>
        </w:tc>
        <w:tc>
          <w:tcPr/>
          <w:p>
            <w:pPr>
              <w:pStyle w:val="Compact"/>
              <w:jc w:val="left"/>
            </w:pPr>
            <w:r>
              <w:t xml:space="preserve">272,000,000</w:t>
            </w:r>
          </w:p>
        </w:tc>
      </w:tr>
      <w:tr>
        <w:tc>
          <w:tcPr/>
          <w:p>
            <w:pPr>
              <w:pStyle w:val="Compact"/>
              <w:jc w:val="left"/>
            </w:pPr>
            <w:r>
              <w:t xml:space="preserve">02</w:t>
            </w:r>
          </w:p>
        </w:tc>
        <w:tc>
          <w:tcPr/>
          <w:p>
            <w:pPr>
              <w:pStyle w:val="Compact"/>
              <w:jc w:val="left"/>
            </w:pPr>
            <w:r>
              <w:t xml:space="preserve">Professional development and pedagogical training program for Teacher Secondary staff (40-hour intensive course)</w:t>
            </w:r>
          </w:p>
        </w:tc>
        <w:tc>
          <w:tcPr/>
          <w:p>
            <w:pPr>
              <w:pStyle w:val="Compact"/>
              <w:jc w:val="left"/>
            </w:pPr>
            <w:r>
              <w:t xml:space="preserve">320</w:t>
            </w:r>
          </w:p>
        </w:tc>
        <w:tc>
          <w:tcPr/>
          <w:p>
            <w:pPr>
              <w:pStyle w:val="Compact"/>
              <w:jc w:val="left"/>
            </w:pPr>
            <w:r>
              <w:t xml:space="preserve">Participants</w:t>
            </w:r>
          </w:p>
        </w:tc>
        <w:tc>
          <w:tcPr/>
          <w:p>
            <w:pPr>
              <w:pStyle w:val="Compact"/>
              <w:jc w:val="left"/>
            </w:pPr>
            <w:r>
              <w:t xml:space="preserve">1,200,000</w:t>
            </w:r>
          </w:p>
        </w:tc>
        <w:tc>
          <w:tcPr/>
          <w:p>
            <w:pPr>
              <w:pStyle w:val="Compact"/>
              <w:jc w:val="left"/>
            </w:pPr>
            <w:r>
              <w:t xml:space="preserve">384,000,000</w:t>
            </w:r>
          </w:p>
        </w:tc>
      </w:tr>
      <w:tr>
        <w:tc>
          <w:tcPr/>
          <w:p>
            <w:pPr>
              <w:pStyle w:val="Compact"/>
              <w:jc w:val="left"/>
            </w:pPr>
            <w:r>
              <w:t xml:space="preserve">03</w:t>
            </w:r>
          </w:p>
        </w:tc>
        <w:tc>
          <w:tcPr/>
          <w:p>
            <w:pPr>
              <w:pStyle w:val="Compact"/>
              <w:jc w:val="left"/>
            </w:pPr>
            <w:r>
              <w:t xml:space="preserve">Instructional materials and curriculum kits for Teacher Secondary use (textbooks, lab equipment, digital resources)</w:t>
            </w:r>
          </w:p>
        </w:tc>
        <w:tc>
          <w:tcPr/>
          <w:p>
            <w:pPr>
              <w:pStyle w:val="Compact"/>
              <w:jc w:val="left"/>
            </w:pPr>
            <w:r>
              <w:t xml:space="preserve">180</w:t>
            </w:r>
          </w:p>
        </w:tc>
        <w:tc>
          <w:tcPr/>
          <w:p>
            <w:pPr>
              <w:pStyle w:val="Compact"/>
              <w:jc w:val="left"/>
            </w:pPr>
            <w:r>
              <w:t xml:space="preserve">Schools</w:t>
            </w:r>
          </w:p>
        </w:tc>
        <w:tc>
          <w:tcPr/>
          <w:p>
            <w:pPr>
              <w:pStyle w:val="Compact"/>
              <w:jc w:val="left"/>
            </w:pPr>
            <w:r>
              <w:t xml:space="preserve">4,500,000</w:t>
            </w:r>
          </w:p>
        </w:tc>
        <w:tc>
          <w:tcPr/>
          <w:p>
            <w:pPr>
              <w:pStyle w:val="Compact"/>
              <w:jc w:val="left"/>
            </w:pPr>
            <w:r>
              <w:t xml:space="preserve">810,000,000</w:t>
            </w:r>
          </w:p>
        </w:tc>
      </w:tr>
      <w:tr>
        <w:tc>
          <w:tcPr/>
          <w:p>
            <w:pPr>
              <w:pStyle w:val="Compact"/>
              <w:jc w:val="left"/>
            </w:pPr>
            <w:r>
              <w:t xml:space="preserve">04</w:t>
            </w:r>
          </w:p>
        </w:tc>
        <w:tc>
          <w:tcPr/>
          <w:p>
            <w:pPr>
              <w:pStyle w:val="Compact"/>
              <w:jc w:val="left"/>
            </w:pPr>
            <w:r>
              <w:t xml:space="preserve">Monthly stipend and performance allowance for Teacher Secondary personnel (10-month academic year)</w:t>
            </w:r>
          </w:p>
        </w:tc>
        <w:tc>
          <w:tcPr/>
          <w:p>
            <w:pPr>
              <w:pStyle w:val="Compact"/>
              <w:jc w:val="left"/>
            </w:pPr>
            <w:r>
              <w:t xml:space="preserve">3,200</w:t>
            </w:r>
          </w:p>
        </w:tc>
        <w:tc>
          <w:tcPr/>
          <w:p>
            <w:pPr>
              <w:pStyle w:val="Compact"/>
              <w:jc w:val="left"/>
            </w:pPr>
            <w:r>
              <w:t xml:space="preserve">Teacher-months</w:t>
            </w:r>
          </w:p>
        </w:tc>
        <w:tc>
          <w:tcPr/>
          <w:p>
            <w:pPr>
              <w:pStyle w:val="Compact"/>
              <w:jc w:val="left"/>
            </w:pPr>
            <w:r>
              <w:t xml:space="preserve">1,800,000</w:t>
            </w:r>
          </w:p>
        </w:tc>
        <w:tc>
          <w:tcPr/>
          <w:p>
            <w:pPr>
              <w:pStyle w:val="Compact"/>
              <w:jc w:val="left"/>
            </w:pPr>
            <w:r>
              <w:t xml:space="preserve">5,760,000,000</w:t>
            </w:r>
          </w:p>
        </w:tc>
      </w:tr>
      <w:tr>
        <w:tc>
          <w:tcPr/>
          <w:p>
            <w:pPr>
              <w:pStyle w:val="Compact"/>
              <w:jc w:val="left"/>
            </w:pPr>
            <w:r>
              <w:t xml:space="preserve">05</w:t>
            </w:r>
          </w:p>
        </w:tc>
        <w:tc>
          <w:tcPr/>
          <w:p>
            <w:pPr>
              <w:pStyle w:val="Compact"/>
              <w:jc w:val="left"/>
            </w:pPr>
            <w:r>
              <w:t xml:space="preserve">Administrative and logistical support services for Teacher Secondary deployment across Baghdad districts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06</w:t>
            </w:r>
          </w:p>
        </w:tc>
        <w:tc>
          <w:tcPr/>
          <w:p>
            <w:pPr>
              <w:pStyle w:val="Compact"/>
              <w:jc w:val="left"/>
            </w:pPr>
            <w:r>
              <w:t xml:space="preserve">Assessment and evaluation framework implementation for Teacher Secondary performance monitoring</w:t>
            </w:r>
          </w:p>
        </w:tc>
        <w:tc>
          <w:tcPr/>
          <w:p>
            <w:pPr>
              <w:pStyle w:val="Compact"/>
              <w:jc w:val="left"/>
            </w:pPr>
            <w:r>
              <w:t xml:space="preserve">180</w:t>
            </w:r>
          </w:p>
        </w:tc>
        <w:tc>
          <w:tcPr/>
          <w:p>
            <w:pPr>
              <w:pStyle w:val="Compact"/>
              <w:jc w:val="left"/>
            </w:pPr>
            <w:r>
              <w:t xml:space="preserve">Schools</w:t>
            </w:r>
          </w:p>
        </w:tc>
        <w:tc>
          <w:tcPr/>
          <w:p>
            <w:pPr>
              <w:pStyle w:val="Compact"/>
              <w:jc w:val="left"/>
            </w:pPr>
            <w:r>
              <w:t xml:space="preserve">350,000</w:t>
            </w:r>
          </w:p>
        </w:tc>
        <w:tc>
          <w:tcPr/>
          <w:p>
            <w:pPr>
              <w:pStyle w:val="Compact"/>
              <w:jc w:val="left"/>
            </w:pPr>
            <w:r>
              <w:t xml:space="preserve">63,000,000</w:t>
            </w:r>
          </w:p>
        </w:tc>
      </w:tr>
      <w:tr>
        <w:tc>
          <w:tcPr>
            <w:gridSpan w:val="5"/>
          </w:tcPr>
          <w:p>
            <w:pPr>
              <w:pStyle w:val="Compact"/>
              <w:jc w:val="right"/>
            </w:pPr>
            <w:r>
              <w:t xml:space="preserve">GRAND TOTAL (IQD)</w:t>
            </w:r>
          </w:p>
        </w:tc>
        <w:tc>
          <w:tcPr/>
          <w:p>
            <w:pPr>
              <w:pStyle w:val="Compact"/>
              <w:jc w:val="left"/>
            </w:pPr>
            <w:r>
              <w:t xml:space="preserve">7,539,000,000</w:t>
            </w:r>
          </w:p>
        </w:tc>
      </w:tr>
    </w:tbl>
    <w:bookmarkEnd w:id="28"/>
    <w:bookmarkStart w:id="29" w:name="terms-and-conditions"/>
    <w:p>
      <w:pPr>
        <w:pStyle w:val="Heading2"/>
      </w:pPr>
      <w:r>
        <w:t xml:space="preserve">3. Terms and Conditions</w:t>
      </w:r>
    </w:p>
    <w:p>
      <w:pPr>
        <w:pStyle w:val="FirstParagraph"/>
      </w:pPr>
      <w:r>
        <w:rPr>
          <w:bCs/>
          <w:b/>
        </w:rPr>
        <w:t xml:space="preserve">3.1</w:t>
      </w:r>
      <w:r>
        <w:t xml:space="preserve"> </w:t>
      </w:r>
      <w:r>
        <w:t xml:space="preserve">This Purchase Order is governed by the laws of the Republic of Iraq and the Iraqi Public Procurement Law No. 22 of 2013, as amended. All disputes arising from this Purchase Order shall be resolved through the competent courts in Baghdad, Iraq.</w:t>
      </w:r>
    </w:p>
    <w:p>
      <w:pPr>
        <w:pStyle w:val="BodyText"/>
      </w:pPr>
      <w:r>
        <w:rPr>
          <w:bCs/>
          <w:b/>
        </w:rPr>
        <w:t xml:space="preserve">3.2</w:t>
      </w:r>
      <w:r>
        <w:t xml:space="preserve"> </w:t>
      </w:r>
      <w:r>
        <w:t xml:space="preserve">The Supplier shall ensure that all Teacher Secondary personnel recruited under this Purchase Order hold a minimum of a Bachelor's degree in their respective subject area from an accredited Iraqi university, along with a valid teaching license issued by the Ministry of Education, Republic of Iraq.</w:t>
      </w:r>
    </w:p>
    <w:p>
      <w:pPr>
        <w:pStyle w:val="BodyText"/>
      </w:pPr>
      <w:r>
        <w:rPr>
          <w:bCs/>
          <w:b/>
        </w:rPr>
        <w:t xml:space="preserve">3.3</w:t>
      </w:r>
      <w:r>
        <w:t xml:space="preserve"> </w:t>
      </w:r>
      <w:r>
        <w:t xml:space="preserve">All Teacher Secondary staff shall be assigned to secondary schools within the Baghdad Governorate, including but not limited to the districts of Al-Rusafa, Al-Karrada, Al-Mansour, Al-Doura, Al-Yusufiya, and Al-Mansour. The Supplier shall coordinate with the Baghdad Directorate of Secondary Education for specific school placements.</w:t>
      </w:r>
    </w:p>
    <w:p>
      <w:pPr>
        <w:pStyle w:val="BodyText"/>
      </w:pPr>
      <w:r>
        <w:rPr>
          <w:bCs/>
          <w:b/>
        </w:rPr>
        <w:t xml:space="preserve">3.4</w:t>
      </w:r>
      <w:r>
        <w:t xml:space="preserve"> </w:t>
      </w:r>
      <w:r>
        <w:t xml:space="preserve">Payment shall be made in Iraqi Dinar (IQD) via bank transfer to the Supplier's designated account. Invoices must be submitted by the 5th of each month for the preceding month's services rendered. Late payments shall accrue interest at the rate of 2% per month.</w:t>
      </w:r>
    </w:p>
    <w:p>
      <w:pPr>
        <w:pStyle w:val="BodyText"/>
      </w:pPr>
      <w:r>
        <w:rPr>
          <w:bCs/>
          <w:b/>
        </w:rPr>
        <w:t xml:space="preserve">3.5</w:t>
      </w:r>
      <w:r>
        <w:t xml:space="preserve"> </w:t>
      </w:r>
      <w:r>
        <w:t xml:space="preserve">The Supplier shall provide a comprehensive monthly report to the Baghdad Directorate of Secondary Education detailing Teacher Secondary attendance, student performance metrics, training completion rates, and any operational issues encountered in the field.</w:t>
      </w:r>
    </w:p>
    <w:p>
      <w:pPr>
        <w:pStyle w:val="BodyText"/>
      </w:pPr>
      <w:r>
        <w:rPr>
          <w:bCs/>
          <w:b/>
        </w:rPr>
        <w:t xml:space="preserve">3.6</w:t>
      </w:r>
      <w:r>
        <w:t xml:space="preserve"> </w:t>
      </w:r>
      <w:r>
        <w:t xml:space="preserve">This Purchase Order may be terminated by either party with 60 days' written notice. In the event of termination, the Supplier shall ensure a smooth transition of all Teacher Secondary personnel to the Ministry's direct employment or to an alternative service provider.</w:t>
      </w:r>
    </w:p>
    <w:p>
      <w:pPr>
        <w:pStyle w:val="BodyText"/>
      </w:pPr>
      <w:r>
        <w:rPr>
          <w:bCs/>
          <w:b/>
        </w:rPr>
        <w:t xml:space="preserve">3.7</w:t>
      </w:r>
      <w:r>
        <w:t xml:space="preserve"> </w:t>
      </w:r>
      <w:r>
        <w:t xml:space="preserve">The Supplier shall comply with all Iraqi labor laws, including but not limited to the Labor Law No. 37 of 2015, and shall provide all Teacher Secondary personnel with appropriate social insurance coverage as mandated by Iraqi law.</w:t>
      </w:r>
    </w:p>
    <w:p>
      <w:pPr>
        <w:pStyle w:val="BodyText"/>
      </w:pPr>
      <w:r>
        <w:rPr>
          <w:bCs/>
          <w:b/>
        </w:rPr>
        <w:t xml:space="preserve">3.8</w:t>
      </w:r>
      <w:r>
        <w:t xml:space="preserve"> </w:t>
      </w:r>
      <w:r>
        <w:t xml:space="preserve">All instructional materials and curriculum kits procured under this Purchase Order shall be aligned with the national secondary education curriculum approved by the Ministry of Education, Republic of Iraq, and shall be available in Arabic as the primary language of instruction.</w:t>
      </w:r>
    </w:p>
    <w:bookmarkEnd w:id="29"/>
    <w:bookmarkStart w:id="30" w:name="delivery-and-implementation-schedule"/>
    <w:p>
      <w:pPr>
        <w:pStyle w:val="Heading2"/>
      </w:pPr>
      <w:r>
        <w:t xml:space="preserve">4. Delivery and Implementation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Timeline</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Recruitment, vetting, and onboarding of Teacher Secondary candidates</w:t>
            </w:r>
          </w:p>
        </w:tc>
        <w:tc>
          <w:tcPr/>
          <w:p>
            <w:pPr>
              <w:pStyle w:val="Compact"/>
              <w:jc w:val="left"/>
            </w:pPr>
            <w:r>
              <w:t xml:space="preserve">15 June – 31 August 2025</w:t>
            </w:r>
          </w:p>
        </w:tc>
        <w:tc>
          <w:tcPr/>
          <w:p>
            <w:pPr>
              <w:pStyle w:val="Compact"/>
              <w:jc w:val="left"/>
            </w:pPr>
            <w:r>
              <w:t xml:space="preserve">Baghdad, Iraq</w:t>
            </w:r>
          </w:p>
        </w:tc>
      </w:tr>
      <w:tr>
        <w:tc>
          <w:tcPr/>
          <w:p>
            <w:pPr>
              <w:pStyle w:val="Compact"/>
              <w:jc w:val="left"/>
            </w:pPr>
            <w:r>
              <w:t xml:space="preserve">Phase 2</w:t>
            </w:r>
          </w:p>
        </w:tc>
        <w:tc>
          <w:tcPr/>
          <w:p>
            <w:pPr>
              <w:pStyle w:val="Compact"/>
              <w:jc w:val="left"/>
            </w:pPr>
            <w:r>
              <w:t xml:space="preserve">Intensive professional development training for Teacher Secondary staff</w:t>
            </w:r>
          </w:p>
        </w:tc>
        <w:tc>
          <w:tcPr/>
          <w:p>
            <w:pPr>
              <w:pStyle w:val="Compact"/>
              <w:jc w:val="left"/>
            </w:pPr>
            <w:r>
              <w:t xml:space="preserve">1 – 30 September 2025</w:t>
            </w:r>
          </w:p>
        </w:tc>
        <w:tc>
          <w:tcPr/>
          <w:p>
            <w:pPr>
              <w:pStyle w:val="Compact"/>
              <w:jc w:val="left"/>
            </w:pPr>
            <w:r>
              <w:t xml:space="preserve">Baghdad Training Centers, Iraq</w:t>
            </w:r>
          </w:p>
        </w:tc>
      </w:tr>
      <w:tr>
        <w:tc>
          <w:tcPr/>
          <w:p>
            <w:pPr>
              <w:pStyle w:val="Compact"/>
              <w:jc w:val="left"/>
            </w:pPr>
            <w:r>
              <w:t xml:space="preserve">Phase 3</w:t>
            </w:r>
          </w:p>
        </w:tc>
        <w:tc>
          <w:tcPr/>
          <w:p>
            <w:pPr>
              <w:pStyle w:val="Compact"/>
              <w:jc w:val="left"/>
            </w:pPr>
            <w:r>
              <w:t xml:space="preserve">Deployment of Teacher Secondary personnel to assigned secondary schools</w:t>
            </w:r>
          </w:p>
        </w:tc>
        <w:tc>
          <w:tcPr/>
          <w:p>
            <w:pPr>
              <w:pStyle w:val="Compact"/>
              <w:jc w:val="left"/>
            </w:pPr>
            <w:r>
              <w:t xml:space="preserve">1 October 2025</w:t>
            </w:r>
          </w:p>
        </w:tc>
        <w:tc>
          <w:tcPr/>
          <w:p>
            <w:pPr>
              <w:pStyle w:val="Compact"/>
              <w:jc w:val="left"/>
            </w:pPr>
            <w:r>
              <w:t xml:space="preserve">All Baghdad Districts, Iraq</w:t>
            </w:r>
          </w:p>
        </w:tc>
      </w:tr>
      <w:tr>
        <w:tc>
          <w:tcPr/>
          <w:p>
            <w:pPr>
              <w:pStyle w:val="Compact"/>
              <w:jc w:val="left"/>
            </w:pPr>
            <w:r>
              <w:t xml:space="preserve">Phase 4</w:t>
            </w:r>
          </w:p>
        </w:tc>
        <w:tc>
          <w:tcPr/>
          <w:p>
            <w:pPr>
              <w:pStyle w:val="Compact"/>
              <w:jc w:val="left"/>
            </w:pPr>
            <w:r>
              <w:t xml:space="preserve">Ongoing instruction, monitoring, and evaluation of Teacher Secondary performance</w:t>
            </w:r>
          </w:p>
        </w:tc>
        <w:tc>
          <w:tcPr/>
          <w:p>
            <w:pPr>
              <w:pStyle w:val="Compact"/>
              <w:jc w:val="left"/>
            </w:pPr>
            <w:r>
              <w:t xml:space="preserve">October 2025 – June 2026</w:t>
            </w:r>
          </w:p>
        </w:tc>
        <w:tc>
          <w:tcPr/>
          <w:p>
            <w:pPr>
              <w:pStyle w:val="Compact"/>
              <w:jc w:val="left"/>
            </w:pPr>
            <w:r>
              <w:t xml:space="preserve">Baghdad Governorate, Iraq</w:t>
            </w:r>
          </w:p>
        </w:tc>
      </w:tr>
    </w:tbl>
    <w:bookmarkEnd w:id="30"/>
    <w:bookmarkStart w:id="31"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Teacher Secondary program in Iraq Baghdad. This document constitutes a binding agreement between the Ministry of Education, Republic of Iraq (Baghdad Directorate of Secondary Education) and Al-Madina Educational Services Co., Ltd.</w:t>
      </w:r>
    </w:p>
    <w:p>
      <w:pPr>
        <w:pStyle w:val="BodyText"/>
      </w:pPr>
      <w:r>
        <w:rPr>
          <w:bCs/>
          <w:b/>
        </w:rPr>
        <w:t xml:space="preserve">For the Purchasing Authority:</w:t>
      </w:r>
    </w:p>
    <w:p>
      <w:pPr>
        <w:pStyle w:val="BodyText"/>
      </w:pPr>
      <w:r>
        <w:t xml:space="preserve">Ministry of Education, Republic of Iraq</w:t>
      </w:r>
    </w:p>
    <w:p>
      <w:pPr>
        <w:pStyle w:val="BodyText"/>
      </w:pPr>
      <w:r>
        <w:t xml:space="preserve">Baghdad Directorate of Secondary Education</w:t>
      </w:r>
    </w:p>
    <w:p>
      <w:pPr>
        <w:pStyle w:val="BodyText"/>
      </w:pPr>
      <w:r>
        <w:t xml:space="preserve">Dr. Khalid Al-Rashid</w:t>
      </w:r>
    </w:p>
    <w:p>
      <w:pPr>
        <w:pStyle w:val="BodyText"/>
      </w:pPr>
      <w:r>
        <w:t xml:space="preserve">Director of Secondary Education, Baghdad</w:t>
      </w:r>
    </w:p>
    <w:p>
      <w:pPr>
        <w:pStyle w:val="BodyText"/>
      </w:pPr>
      <w:r>
        <w:t xml:space="preserve">Date: _______________</w:t>
      </w:r>
    </w:p>
    <w:p>
      <w:pPr>
        <w:pStyle w:val="BodyText"/>
      </w:pPr>
      <w:r>
        <w:rPr>
          <w:bCs/>
          <w:b/>
        </w:rPr>
        <w:t xml:space="preserve">For the Supplier:</w:t>
      </w:r>
    </w:p>
    <w:p>
      <w:pPr>
        <w:pStyle w:val="BodyText"/>
      </w:pPr>
      <w:r>
        <w:t xml:space="preserve">Al-Madina Educational Services Co., Ltd.</w:t>
      </w:r>
    </w:p>
    <w:p>
      <w:pPr>
        <w:pStyle w:val="BodyText"/>
      </w:pPr>
      <w:r>
        <w:t xml:space="preserve">Baghdad, Iraq</w:t>
      </w:r>
    </w:p>
    <w:p>
      <w:pPr>
        <w:pStyle w:val="BodyText"/>
      </w:pPr>
      <w:r>
        <w:t xml:space="preserve">Mr. Omar Al-Jabiri</w:t>
      </w:r>
    </w:p>
    <w:p>
      <w:pPr>
        <w:pStyle w:val="BodyText"/>
      </w:pPr>
      <w:r>
        <w:t xml:space="preserve">General Manager</w:t>
      </w:r>
    </w:p>
    <w:p>
      <w:pPr>
        <w:pStyle w:val="BodyText"/>
      </w:pPr>
      <w:r>
        <w:t xml:space="preserve">Date: _______________</w:t>
      </w:r>
    </w:p>
    <w:p>
      <w:pPr>
        <w:pStyle w:val="BodyText"/>
      </w:pPr>
      <w:r>
        <w:rPr>
          <w:bCs/>
          <w:b/>
        </w:rPr>
        <w:t xml:space="preserve">Witness / Notary:</w:t>
      </w:r>
    </w:p>
    <w:p>
      <w:pPr>
        <w:pStyle w:val="BodyText"/>
      </w:pPr>
      <w:r>
        <w:t xml:space="preserve">Baghdad Notary Public Office</w:t>
      </w:r>
    </w:p>
    <w:p>
      <w:pPr>
        <w:pStyle w:val="BodyText"/>
      </w:pPr>
      <w:r>
        <w:t xml:space="preserve">Al-Mansour District, Iraq</w:t>
      </w:r>
    </w:p>
    <w:p>
      <w:pPr>
        <w:pStyle w:val="BodyText"/>
      </w:pPr>
      <w:r>
        <w:t xml:space="preserve">Name: _______________</w:t>
      </w:r>
    </w:p>
    <w:p>
      <w:pPr>
        <w:pStyle w:val="BodyText"/>
      </w:pPr>
      <w:r>
        <w:t xml:space="preserve">Seal / Stamp</w:t>
      </w:r>
    </w:p>
    <w:p>
      <w:pPr>
        <w:pStyle w:val="BodyText"/>
      </w:pPr>
      <w:r>
        <w:t xml:space="preserve">Date: _______________</w:t>
      </w:r>
    </w:p>
    <w:p>
      <w:pPr>
        <w:pStyle w:val="BodyText"/>
      </w:pPr>
      <w:r>
        <w:t xml:space="preserve">This Purchase Order (PO No: IQ-BGD-SEC-2025-04782) was issued by the Baghdad Directorate of Secondary Education, Ministry of Education, Republic of Iraq, for the procurement of Teacher Secondary services and materials in Iraq Baghdad. This document is valid for a period of one academic year and is subject to the Iraqi Public Procurement Law. Unauthorized reproduction or distribution of this Purchase Order is prohibited.</w:t>
      </w:r>
    </w:p>
    <w:p>
      <w:pPr>
        <w:pStyle w:val="BodyText"/>
      </w:pPr>
      <w:r>
        <w:t xml:space="preserve">Document Reference: MOE/BGD/SEC/PO/2025/04782 | Classification: Official – Internal Use | Page 1 of 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Iraq Baghdad</dc:title>
  <dc:creator/>
  <dc:language>en</dc:language>
  <cp:keywords/>
  <dcterms:created xsi:type="dcterms:W3CDTF">2026-10-10T02:37:17Z</dcterms:created>
  <dcterms:modified xsi:type="dcterms:W3CDTF">2026-10-10T02:37:17Z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