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Tel Aviv Municipal Education Authority</w:t>
      </w:r>
    </w:p>
    <w:p>
      <w:pPr>
        <w:pStyle w:val="BodyText"/>
      </w:pPr>
      <w:r>
        <w:t xml:space="preserve">Department of Secondary Education Procurement</w:t>
      </w:r>
    </w:p>
    <w:p>
      <w:pPr>
        <w:pStyle w:val="BodyText"/>
      </w:pPr>
      <w:r>
        <w:t xml:space="preserve">45 Allenby Street, Tel Aviv-Yafo, Israel 6677701</w:t>
      </w:r>
    </w:p>
    <w:p>
      <w:pPr>
        <w:pStyle w:val="BodyText"/>
      </w:pPr>
      <w:r>
        <w:t xml:space="preserve">Tel: +972-3-620-4400 | Email: procurement@tled.gov.il</w:t>
      </w:r>
    </w:p>
    <w:bookmarkEnd w:id="20"/>
    <w:p>
      <w:pPr>
        <w:pStyle w:val="BodyText"/>
      </w:pPr>
      <w:r>
        <w:rPr>
          <w:bCs/>
          <w:b/>
        </w:rPr>
        <w:t xml:space="preserve">PO Number:</w:t>
      </w:r>
      <w:r>
        <w:t xml:space="preserve"> </w:t>
      </w:r>
      <w:r>
        <w:t xml:space="preserve">PO-TLV-SEC-2025-0487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Country of Operation:</w:t>
      </w:r>
      <w:r>
        <w:t xml:space="preserve"> </w:t>
      </w:r>
      <w:r>
        <w:t xml:space="preserve">Israel</w:t>
      </w:r>
    </w:p>
    <w:p>
      <w:pPr>
        <w:pStyle w:val="BodyText"/>
      </w:pPr>
      <w:r>
        <w:rPr>
          <w:bCs/>
          <w:b/>
        </w:rPr>
        <w:t xml:space="preserve">City of Performance:</w:t>
      </w:r>
      <w:r>
        <w:t xml:space="preserve"> </w:t>
      </w:r>
      <w:r>
        <w:t xml:space="preserve">Tel Aviv</w:t>
      </w:r>
    </w:p>
    <w:p>
      <w:pPr>
        <w:pStyle w:val="BodyText"/>
      </w:pPr>
      <w:r>
        <w:rPr>
          <w:bCs/>
          <w:b/>
        </w:rPr>
        <w:t xml:space="preserve">Education Level:</w:t>
      </w:r>
      <w:r>
        <w:t xml:space="preserve"> </w:t>
      </w:r>
      <w:r>
        <w:t xml:space="preserve">Secondary (Grades 10–12)</w:t>
      </w:r>
    </w:p>
    <w:p>
      <w:pPr>
        <w:pStyle w:val="BodyText"/>
      </w:pPr>
      <w:r>
        <w:rPr>
          <w:bCs/>
          <w:b/>
        </w:rPr>
        <w:t xml:space="preserve">Vendor / Supplier:</w:t>
      </w:r>
      <w:r>
        <w:t xml:space="preserve"> </w:t>
      </w:r>
      <w:r>
        <w:t xml:space="preserve">EduStaff Israel Ltd.</w:t>
      </w:r>
    </w:p>
    <w:p>
      <w:pPr>
        <w:pStyle w:val="BodyText"/>
      </w:pPr>
      <w:r>
        <w:rPr>
          <w:bCs/>
          <w:b/>
        </w:rPr>
        <w:t xml:space="preserve">VAT No.:</w:t>
      </w:r>
      <w:r>
        <w:t xml:space="preserve"> </w:t>
      </w:r>
      <w:r>
        <w:t xml:space="preserve">51-802-334-77</w:t>
      </w:r>
    </w:p>
    <w:p>
      <w:pPr>
        <w:pStyle w:val="BodyText"/>
      </w:pPr>
      <w:r>
        <w:rPr>
          <w:bCs/>
          <w:b/>
        </w:rPr>
        <w:t xml:space="preserve">Address:</w:t>
      </w:r>
      <w:r>
        <w:t xml:space="preserve"> </w:t>
      </w:r>
      <w:r>
        <w:t xml:space="preserve">12 Herzl Boulevard, Tel Aviv, Israel</w:t>
      </w:r>
    </w:p>
    <w:bookmarkStart w:id="21" w:name="purpose-and-scope-of-this-purchase-order"/>
    <w:p>
      <w:pPr>
        <w:pStyle w:val="Heading2"/>
      </w:pPr>
      <w:r>
        <w:t xml:space="preserve">1. Purpose and Scope of This Purchase Order</w:t>
      </w:r>
    </w:p>
    <w:p>
      <w:pPr>
        <w:pStyle w:val="FirstParagraph"/>
      </w:pPr>
      <w:r>
        <w:t xml:space="preserve">This Purchase Order is issued by the Tel Aviv Municipal Education Authority to procure the services of qualified</w:t>
      </w:r>
      <w:r>
        <w:t xml:space="preserve"> </w:t>
      </w:r>
      <w:r>
        <w:t xml:space="preserve">Teacher Secondary</w:t>
      </w:r>
      <w:r>
        <w:t xml:space="preserve"> </w:t>
      </w:r>
      <w:r>
        <w:t xml:space="preserve">personnel for the 2025/2026 academic year. The scope of this order covers the recruitment, placement, and ongoing professional support of secondary school teachers across all public secondary institutions within the Tel Aviv municipality. All</w:t>
      </w:r>
      <w:r>
        <w:t xml:space="preserve"> </w:t>
      </w:r>
      <w:r>
        <w:t xml:space="preserve">Teacher Secondary</w:t>
      </w:r>
      <w:r>
        <w:t xml:space="preserve"> </w:t>
      </w:r>
      <w:r>
        <w:t xml:space="preserve">candidates engaged under this Purchase Order must hold a valid teaching license issued by the Ministry of Education of the State of Israel and demonstrate a minimum of three (3) years of experience in secondary education (Grades 10 through 12). The services shall be performed exclusively within the geographic boundaries of Tel Aviv, Israel, in accordance with the national curriculum standards established by the Israeli Ministry of Education.</w:t>
      </w:r>
    </w:p>
    <w:bookmarkEnd w:id="21"/>
    <w:bookmarkStart w:id="22" w:name="line-items-teacher-secondary-positions"/>
    <w:p>
      <w:pPr>
        <w:pStyle w:val="Heading2"/>
      </w:pPr>
      <w:r>
        <w:t xml:space="preserve">2. Line Items – Teacher Secondary Positions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Subject / Specialization</w:t>
            </w:r>
          </w:p>
        </w:tc>
        <w:tc>
          <w:tcPr/>
          <w:p>
            <w:pPr>
              <w:pStyle w:val="Compact"/>
              <w:jc w:val="left"/>
            </w:pPr>
            <w:r>
              <w:t xml:space="preserve">Grade Level</w:t>
            </w:r>
          </w:p>
        </w:tc>
        <w:tc>
          <w:tcPr/>
          <w:p>
            <w:pPr>
              <w:pStyle w:val="Compact"/>
              <w:jc w:val="left"/>
            </w:pPr>
            <w:r>
              <w:t xml:space="preserve">Duration</w:t>
            </w:r>
          </w:p>
        </w:tc>
        <w:tc>
          <w:tcPr/>
          <w:p>
            <w:pPr>
              <w:pStyle w:val="Compact"/>
              <w:jc w:val="left"/>
            </w:pPr>
            <w:r>
              <w:t xml:space="preserve">Unit Price (ILS/month)</w:t>
            </w:r>
          </w:p>
        </w:tc>
        <w:tc>
          <w:tcPr/>
          <w:p>
            <w:pPr>
              <w:pStyle w:val="Compact"/>
              <w:jc w:val="left"/>
            </w:pPr>
            <w:r>
              <w:t xml:space="preserve">Quantity</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Teacher Secondary – Mathematics</w:t>
            </w:r>
          </w:p>
        </w:tc>
        <w:tc>
          <w:tcPr/>
          <w:p>
            <w:pPr>
              <w:pStyle w:val="Compact"/>
              <w:jc w:val="left"/>
            </w:pPr>
            <w:r>
              <w:t xml:space="preserve">Advanced Mathematics &amp; Statistics</w:t>
            </w:r>
          </w:p>
        </w:tc>
        <w:tc>
          <w:tcPr/>
          <w:p>
            <w:pPr>
              <w:pStyle w:val="Compact"/>
              <w:jc w:val="left"/>
            </w:pPr>
            <w:r>
              <w:t xml:space="preserve">10–12</w:t>
            </w:r>
          </w:p>
        </w:tc>
        <w:tc>
          <w:tcPr/>
          <w:p>
            <w:pPr>
              <w:pStyle w:val="Compact"/>
              <w:jc w:val="left"/>
            </w:pPr>
            <w:r>
              <w:t xml:space="preserve">10 months</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Teacher Secondary – Physics</w:t>
            </w:r>
          </w:p>
        </w:tc>
        <w:tc>
          <w:tcPr/>
          <w:p>
            <w:pPr>
              <w:pStyle w:val="Compact"/>
              <w:jc w:val="left"/>
            </w:pPr>
            <w:r>
              <w:t xml:space="preserve">Classical &amp; Modern Physics</w:t>
            </w:r>
          </w:p>
        </w:tc>
        <w:tc>
          <w:tcPr/>
          <w:p>
            <w:pPr>
              <w:pStyle w:val="Compact"/>
              <w:jc w:val="left"/>
            </w:pPr>
            <w:r>
              <w:t xml:space="preserve">10–12</w:t>
            </w:r>
          </w:p>
        </w:tc>
        <w:tc>
          <w:tcPr/>
          <w:p>
            <w:pPr>
              <w:pStyle w:val="Compact"/>
              <w:jc w:val="left"/>
            </w:pPr>
            <w:r>
              <w:t xml:space="preserve">10 months</w:t>
            </w:r>
          </w:p>
        </w:tc>
        <w:tc>
          <w:tcPr/>
          <w:p>
            <w:pPr>
              <w:pStyle w:val="Compact"/>
              <w:jc w:val="left"/>
            </w:pPr>
            <w:r>
              <w:t xml:space="preserve">18,500</w:t>
            </w:r>
          </w:p>
        </w:tc>
        <w:tc>
          <w:tcPr/>
          <w:p>
            <w:pPr>
              <w:pStyle w:val="Compact"/>
              <w:jc w:val="left"/>
            </w:pPr>
            <w:r>
              <w:t xml:space="preserve">8</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Teacher Secondary – Literature (Hebrew)</w:t>
            </w:r>
          </w:p>
        </w:tc>
        <w:tc>
          <w:tcPr/>
          <w:p>
            <w:pPr>
              <w:pStyle w:val="Compact"/>
              <w:jc w:val="left"/>
            </w:pPr>
            <w:r>
              <w:t xml:space="preserve">Hebrew Literature &amp; Composition</w:t>
            </w:r>
          </w:p>
        </w:tc>
        <w:tc>
          <w:tcPr/>
          <w:p>
            <w:pPr>
              <w:pStyle w:val="Compact"/>
              <w:jc w:val="left"/>
            </w:pPr>
            <w:r>
              <w:t xml:space="preserve">10–12</w:t>
            </w:r>
          </w:p>
        </w:tc>
        <w:tc>
          <w:tcPr/>
          <w:p>
            <w:pPr>
              <w:pStyle w:val="Compact"/>
              <w:jc w:val="left"/>
            </w:pPr>
            <w:r>
              <w:t xml:space="preserve">10 months</w:t>
            </w:r>
          </w:p>
        </w:tc>
        <w:tc>
          <w:tcPr/>
          <w:p>
            <w:pPr>
              <w:pStyle w:val="Compact"/>
              <w:jc w:val="left"/>
            </w:pPr>
            <w:r>
              <w:t xml:space="preserve">17,800</w:t>
            </w:r>
          </w:p>
        </w:tc>
        <w:tc>
          <w:tcPr/>
          <w:p>
            <w:pPr>
              <w:pStyle w:val="Compact"/>
              <w:jc w:val="left"/>
            </w:pPr>
            <w:r>
              <w:t xml:space="preserve">15</w:t>
            </w:r>
          </w:p>
        </w:tc>
        <w:tc>
          <w:tcPr/>
          <w:p>
            <w:pPr>
              <w:pStyle w:val="Compact"/>
              <w:jc w:val="left"/>
            </w:pPr>
            <w:r>
              <w:t xml:space="preserve">2,670,000</w:t>
            </w:r>
          </w:p>
        </w:tc>
      </w:tr>
      <w:tr>
        <w:tc>
          <w:tcPr/>
          <w:p>
            <w:pPr>
              <w:pStyle w:val="Compact"/>
              <w:jc w:val="left"/>
            </w:pPr>
            <w:r>
              <w:t xml:space="preserve">04</w:t>
            </w:r>
          </w:p>
        </w:tc>
        <w:tc>
          <w:tcPr/>
          <w:p>
            <w:pPr>
              <w:pStyle w:val="Compact"/>
              <w:jc w:val="left"/>
            </w:pPr>
            <w:r>
              <w:t xml:space="preserve">Teacher Secondary – English Language</w:t>
            </w:r>
          </w:p>
        </w:tc>
        <w:tc>
          <w:tcPr/>
          <w:p>
            <w:pPr>
              <w:pStyle w:val="Compact"/>
              <w:jc w:val="left"/>
            </w:pPr>
            <w:r>
              <w:t xml:space="preserve">ESL / EFL Secondary Instruction</w:t>
            </w:r>
          </w:p>
        </w:tc>
        <w:tc>
          <w:tcPr/>
          <w:p>
            <w:pPr>
              <w:pStyle w:val="Compact"/>
              <w:jc w:val="left"/>
            </w:pPr>
            <w:r>
              <w:t xml:space="preserve">10–12</w:t>
            </w:r>
          </w:p>
        </w:tc>
        <w:tc>
          <w:tcPr/>
          <w:p>
            <w:pPr>
              <w:pStyle w:val="Compact"/>
              <w:jc w:val="left"/>
            </w:pPr>
            <w:r>
              <w:t xml:space="preserve">10 months</w:t>
            </w:r>
          </w:p>
        </w:tc>
        <w:tc>
          <w:tcPr/>
          <w:p>
            <w:pPr>
              <w:pStyle w:val="Compact"/>
              <w:jc w:val="left"/>
            </w:pPr>
            <w:r>
              <w:t xml:space="preserve">17,800</w:t>
            </w:r>
          </w:p>
        </w:tc>
        <w:tc>
          <w:tcPr/>
          <w:p>
            <w:pPr>
              <w:pStyle w:val="Compact"/>
              <w:jc w:val="left"/>
            </w:pPr>
            <w:r>
              <w:t xml:space="preserve">10</w:t>
            </w:r>
          </w:p>
        </w:tc>
        <w:tc>
          <w:tcPr/>
          <w:p>
            <w:pPr>
              <w:pStyle w:val="Compact"/>
              <w:jc w:val="left"/>
            </w:pPr>
            <w:r>
              <w:t xml:space="preserve">1,780,000</w:t>
            </w:r>
          </w:p>
        </w:tc>
      </w:tr>
      <w:tr>
        <w:tc>
          <w:tcPr/>
          <w:p>
            <w:pPr>
              <w:pStyle w:val="Compact"/>
              <w:jc w:val="left"/>
            </w:pPr>
            <w:r>
              <w:t xml:space="preserve">05</w:t>
            </w:r>
          </w:p>
        </w:tc>
        <w:tc>
          <w:tcPr/>
          <w:p>
            <w:pPr>
              <w:pStyle w:val="Compact"/>
              <w:jc w:val="left"/>
            </w:pPr>
            <w:r>
              <w:t xml:space="preserve">Teacher Secondary – History &amp; Social Studies</w:t>
            </w:r>
          </w:p>
        </w:tc>
        <w:tc>
          <w:tcPr/>
          <w:p>
            <w:pPr>
              <w:pStyle w:val="Compact"/>
              <w:jc w:val="left"/>
            </w:pPr>
            <w:r>
              <w:t xml:space="preserve">Israeli &amp; World History</w:t>
            </w:r>
          </w:p>
        </w:tc>
        <w:tc>
          <w:tcPr/>
          <w:p>
            <w:pPr>
              <w:pStyle w:val="Compact"/>
              <w:jc w:val="left"/>
            </w:pPr>
            <w:r>
              <w:t xml:space="preserve">10–12</w:t>
            </w:r>
          </w:p>
        </w:tc>
        <w:tc>
          <w:tcPr/>
          <w:p>
            <w:pPr>
              <w:pStyle w:val="Compact"/>
              <w:jc w:val="left"/>
            </w:pPr>
            <w:r>
              <w:t xml:space="preserve">10 months</w:t>
            </w:r>
          </w:p>
        </w:tc>
        <w:tc>
          <w:tcPr/>
          <w:p>
            <w:pPr>
              <w:pStyle w:val="Compact"/>
              <w:jc w:val="left"/>
            </w:pPr>
            <w:r>
              <w:t xml:space="preserve">17,500</w:t>
            </w:r>
          </w:p>
        </w:tc>
        <w:tc>
          <w:tcPr/>
          <w:p>
            <w:pPr>
              <w:pStyle w:val="Compact"/>
              <w:jc w:val="left"/>
            </w:pPr>
            <w:r>
              <w:t xml:space="preserve">9</w:t>
            </w:r>
          </w:p>
        </w:tc>
        <w:tc>
          <w:tcPr/>
          <w:p>
            <w:pPr>
              <w:pStyle w:val="Compact"/>
              <w:jc w:val="left"/>
            </w:pPr>
            <w:r>
              <w:t xml:space="preserve">1,575,000</w:t>
            </w:r>
          </w:p>
        </w:tc>
      </w:tr>
      <w:tr>
        <w:tc>
          <w:tcPr/>
          <w:p>
            <w:pPr>
              <w:pStyle w:val="Compact"/>
              <w:jc w:val="left"/>
            </w:pPr>
            <w:r>
              <w:t xml:space="preserve">06</w:t>
            </w:r>
          </w:p>
        </w:tc>
        <w:tc>
          <w:tcPr/>
          <w:p>
            <w:pPr>
              <w:pStyle w:val="Compact"/>
              <w:jc w:val="left"/>
            </w:pPr>
            <w:r>
              <w:t xml:space="preserve">Teacher Secondary – Computer Science</w:t>
            </w:r>
          </w:p>
        </w:tc>
        <w:tc>
          <w:tcPr/>
          <w:p>
            <w:pPr>
              <w:pStyle w:val="Compact"/>
              <w:jc w:val="left"/>
            </w:pPr>
            <w:r>
              <w:t xml:space="preserve">Programming &amp; Digital Literacy</w:t>
            </w:r>
          </w:p>
        </w:tc>
        <w:tc>
          <w:tcPr/>
          <w:p>
            <w:pPr>
              <w:pStyle w:val="Compact"/>
              <w:jc w:val="left"/>
            </w:pPr>
            <w:r>
              <w:t xml:space="preserve">10–12</w:t>
            </w:r>
          </w:p>
        </w:tc>
        <w:tc>
          <w:tcPr/>
          <w:p>
            <w:pPr>
              <w:pStyle w:val="Compact"/>
              <w:jc w:val="left"/>
            </w:pPr>
            <w:r>
              <w:t xml:space="preserve">10 months</w:t>
            </w:r>
          </w:p>
        </w:tc>
        <w:tc>
          <w:tcPr/>
          <w:p>
            <w:pPr>
              <w:pStyle w:val="Compact"/>
              <w:jc w:val="left"/>
            </w:pPr>
            <w:r>
              <w:t xml:space="preserve">19,200</w:t>
            </w:r>
          </w:p>
        </w:tc>
        <w:tc>
          <w:tcPr/>
          <w:p>
            <w:pPr>
              <w:pStyle w:val="Compact"/>
              <w:jc w:val="left"/>
            </w:pPr>
            <w:r>
              <w:t xml:space="preserve">6</w:t>
            </w:r>
          </w:p>
        </w:tc>
        <w:tc>
          <w:tcPr/>
          <w:p>
            <w:pPr>
              <w:pStyle w:val="Compact"/>
              <w:jc w:val="left"/>
            </w:pPr>
            <w:r>
              <w:t xml:space="preserve">1,152,000</w:t>
            </w:r>
          </w:p>
        </w:tc>
      </w:tr>
      <w:tr>
        <w:tc>
          <w:tcPr/>
          <w:p>
            <w:pPr>
              <w:pStyle w:val="Compact"/>
              <w:jc w:val="left"/>
            </w:pPr>
            <w:r>
              <w:t xml:space="preserve">07</w:t>
            </w:r>
          </w:p>
        </w:tc>
        <w:tc>
          <w:tcPr/>
          <w:p>
            <w:pPr>
              <w:pStyle w:val="Compact"/>
              <w:jc w:val="left"/>
            </w:pPr>
            <w:r>
              <w:t xml:space="preserve">Teacher Secondary – Biology &amp; Chemistry</w:t>
            </w:r>
          </w:p>
        </w:tc>
        <w:tc>
          <w:tcPr/>
          <w:p>
            <w:pPr>
              <w:pStyle w:val="Compact"/>
              <w:jc w:val="left"/>
            </w:pPr>
            <w:r>
              <w:t xml:space="preserve">Life Sciences &amp; Chemical Sciences</w:t>
            </w:r>
          </w:p>
        </w:tc>
        <w:tc>
          <w:tcPr/>
          <w:p>
            <w:pPr>
              <w:pStyle w:val="Compact"/>
              <w:jc w:val="left"/>
            </w:pPr>
            <w:r>
              <w:t xml:space="preserve">10–12</w:t>
            </w:r>
          </w:p>
        </w:tc>
        <w:tc>
          <w:tcPr/>
          <w:p>
            <w:pPr>
              <w:pStyle w:val="Compact"/>
              <w:jc w:val="left"/>
            </w:pPr>
            <w:r>
              <w:t xml:space="preserve">10 months</w:t>
            </w:r>
          </w:p>
        </w:tc>
        <w:tc>
          <w:tcPr/>
          <w:p>
            <w:pPr>
              <w:pStyle w:val="Compact"/>
              <w:jc w:val="left"/>
            </w:pPr>
            <w:r>
              <w:t xml:space="preserve">18,500</w:t>
            </w:r>
          </w:p>
        </w:tc>
        <w:tc>
          <w:tcPr/>
          <w:p>
            <w:pPr>
              <w:pStyle w:val="Compact"/>
              <w:jc w:val="left"/>
            </w:pPr>
            <w:r>
              <w:t xml:space="preserve">10</w:t>
            </w:r>
          </w:p>
        </w:tc>
        <w:tc>
          <w:tcPr/>
          <w:p>
            <w:pPr>
              <w:pStyle w:val="Compact"/>
              <w:jc w:val="left"/>
            </w:pPr>
            <w:r>
              <w:t xml:space="preserve">1,850,000</w:t>
            </w:r>
          </w:p>
        </w:tc>
      </w:tr>
      <w:tr>
        <w:tc>
          <w:tcPr>
            <w:gridSpan w:val="7"/>
          </w:tcPr>
          <w:p>
            <w:pPr>
              <w:pStyle w:val="Compact"/>
              <w:jc w:val="left"/>
            </w:pPr>
            <w:r>
              <w:t xml:space="preserve">TOTAL CONTRACT VALUE (Excluding VAT)</w:t>
            </w:r>
          </w:p>
        </w:tc>
        <w:tc>
          <w:tcPr/>
          <w:p>
            <w:pPr>
              <w:pStyle w:val="Compact"/>
              <w:jc w:val="left"/>
            </w:pPr>
            <w:r>
              <w:t xml:space="preserve">12,727,000</w:t>
            </w:r>
          </w:p>
        </w:tc>
      </w:tr>
      <w:tr>
        <w:tc>
          <w:tcPr>
            <w:gridSpan w:val="7"/>
          </w:tcPr>
          <w:p>
            <w:pPr>
              <w:pStyle w:val="Compact"/>
              <w:jc w:val="left"/>
            </w:pPr>
            <w:r>
              <w:t xml:space="preserve">VAT (18%)</w:t>
            </w:r>
          </w:p>
        </w:tc>
        <w:tc>
          <w:tcPr/>
          <w:p>
            <w:pPr>
              <w:pStyle w:val="Compact"/>
              <w:jc w:val="left"/>
            </w:pPr>
            <w:r>
              <w:t xml:space="preserve">2,290,860</w:t>
            </w:r>
          </w:p>
        </w:tc>
      </w:tr>
      <w:tr>
        <w:tc>
          <w:tcPr>
            <w:gridSpan w:val="7"/>
          </w:tcPr>
          <w:p>
            <w:pPr>
              <w:pStyle w:val="Compact"/>
              <w:jc w:val="left"/>
            </w:pPr>
            <w:r>
              <w:t xml:space="preserve">GRAND TOTAL (Including VAT)</w:t>
            </w:r>
          </w:p>
        </w:tc>
        <w:tc>
          <w:tcPr/>
          <w:p>
            <w:pPr>
              <w:pStyle w:val="Compact"/>
              <w:jc w:val="left"/>
            </w:pPr>
            <w:r>
              <w:t xml:space="preserve">15,017,860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Compliance with Israeli Law:</w:t>
      </w:r>
      <w:r>
        <w:t xml:space="preserve"> </w:t>
      </w:r>
      <w:r>
        <w:t xml:space="preserve">All</w:t>
      </w:r>
      <w:r>
        <w:t xml:space="preserve"> </w:t>
      </w:r>
      <w:r>
        <w:t xml:space="preserve">Teacher Secondary</w:t>
      </w:r>
      <w:r>
        <w:t xml:space="preserve"> </w:t>
      </w:r>
      <w:r>
        <w:t xml:space="preserve">personnel engaged under this Purchase Order shall comply with the Teachers' Law, 5728-1968, and all subsequent amendments enacted by the Knesset of Israel. The vendor shall ensure that every Teacher Secondary candidate holds a current teaching certificate recognized by the Ministry of Education of the State of Israel.</w:t>
      </w:r>
    </w:p>
    <w:p>
      <w:pPr>
        <w:numPr>
          <w:ilvl w:val="0"/>
          <w:numId w:val="1001"/>
        </w:numPr>
        <w:pStyle w:val="Compact"/>
      </w:pPr>
      <w:r>
        <w:rPr>
          <w:bCs/>
          <w:b/>
        </w:rPr>
        <w:t xml:space="preserve">Place of Performance:</w:t>
      </w:r>
      <w:r>
        <w:t xml:space="preserve"> </w:t>
      </w:r>
      <w:r>
        <w:t xml:space="preserve">All teaching duties associated with this Purchase Order shall be carried out at designated secondary school campuses located within the municipality of Tel Aviv, Israel. The vendor is responsible for coordinating transportation and scheduling across all Tel Aviv sites as directed by the Tel Aviv Municipal Education Authority.</w:t>
      </w:r>
    </w:p>
    <w:p>
      <w:pPr>
        <w:numPr>
          <w:ilvl w:val="0"/>
          <w:numId w:val="1001"/>
        </w:numPr>
        <w:pStyle w:val="Compact"/>
      </w:pPr>
      <w:r>
        <w:rPr>
          <w:bCs/>
          <w:b/>
        </w:rPr>
        <w:t xml:space="preserve">Payment Terms:</w:t>
      </w:r>
      <w:r>
        <w:t xml:space="preserve"> </w:t>
      </w:r>
      <w:r>
        <w:t xml:space="preserve">Payment shall be made in monthly installments within thirty (30) calendar days of receipt of a valid invoice from EduStaff Israel Ltd. Payment shall be processed via bank transfer to the vendor's designated account in an Israeli bank, denominated in New Israeli Shekels (ILS). Late payments shall accrue interest at the rate prescribed by the Interest Law, 5713-1953.</w:t>
      </w:r>
    </w:p>
    <w:p>
      <w:pPr>
        <w:numPr>
          <w:ilvl w:val="0"/>
          <w:numId w:val="1001"/>
        </w:numPr>
        <w:pStyle w:val="Compact"/>
      </w:pPr>
      <w:r>
        <w:rPr>
          <w:bCs/>
          <w:b/>
        </w:rPr>
        <w:t xml:space="preserve">Background Checks:</w:t>
      </w:r>
      <w:r>
        <w:t xml:space="preserve"> </w:t>
      </w:r>
      <w:r>
        <w:t xml:space="preserve">Prior to the commencement of any Teacher Secondary engagement, the vendor shall submit to the Tel Aviv Municipal Education Authority a certified copy of a criminal background check (Tzav) and a child protection clearance (Tzav Ha'aretz) for each Teacher Secondary candidate, as required under Israeli law for personnel working with minors in secondary education.</w:t>
      </w:r>
    </w:p>
    <w:p>
      <w:pPr>
        <w:numPr>
          <w:ilvl w:val="0"/>
          <w:numId w:val="1001"/>
        </w:numPr>
        <w:pStyle w:val="Compact"/>
      </w:pPr>
      <w:r>
        <w:rPr>
          <w:bCs/>
          <w:b/>
        </w:rPr>
        <w:t xml:space="preserve">Professional Development:</w:t>
      </w:r>
      <w:r>
        <w:t xml:space="preserve"> </w:t>
      </w:r>
      <w:r>
        <w:t xml:space="preserve">The vendor shall allocate a minimum of 40 hours per academic year for each Teacher Secondary to participate in continuing professional development workshops, curriculum alignment sessions, and pedagogical training programs approved by the Ministry of Education of Israel. These hours shall be compensated as part of the unit price specified in Section 2.</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Tel Aviv Municipal Education Authority shall be liable for all Teacher Secondary compensation accrued up to the effective date of termination, in accordance with the Israeli Labor Law, 5719-1958.</w:t>
      </w:r>
    </w:p>
    <w:p>
      <w:pPr>
        <w:numPr>
          <w:ilvl w:val="0"/>
          <w:numId w:val="1001"/>
        </w:numPr>
        <w:pStyle w:val="Compact"/>
      </w:pPr>
      <w:r>
        <w:rPr>
          <w:bCs/>
          <w:b/>
        </w:rPr>
        <w:t xml:space="preserve">Confidentiality:</w:t>
      </w:r>
      <w:r>
        <w:t xml:space="preserve"> </w:t>
      </w:r>
      <w:r>
        <w:t xml:space="preserve">All student records, assessment data, and institutional information encountered by Teacher Secondary personnel in the course of their duties in Tel Aviv shall be treated as strictly confidential in accordance with the Privacy Protection Law, 5741-1981, of the State of Israel.</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binding arbitration in Tel Aviv, Israel, in accordance with the Arbitration Law, 5728-1968. The governing law of this Purchase Order shall be the laws of the State of Israel.</w:t>
      </w:r>
    </w:p>
    <w:bookmarkEnd w:id="23"/>
    <w:bookmarkStart w:id="24" w:name="delivery-and-commencement-schedule"/>
    <w:p>
      <w:pPr>
        <w:pStyle w:val="Heading2"/>
      </w:pPr>
      <w:r>
        <w:t xml:space="preserve">4. Delivery and Commencement Schedule</w:t>
      </w:r>
    </w:p>
    <w:p>
      <w:pPr>
        <w:pStyle w:val="FirstParagraph"/>
      </w:pPr>
      <w:r>
        <w:t xml:space="preserve">All Teacher Secondary positions listed in this Purchase Order shall commence no later than 1 September 2025, coinciding with the opening of the 2025/2026 academic year in Israel. The vendor shall submit a confirmed roster of all Teacher Secondary personnel, including curriculum vitae, teaching licenses, and reference letters, no later than 15 August 2025. A joint orientation day for all Teacher Secondary staff shall be held at the Tel Aviv Education Center, 10 Dizengoff Street, Tel Aviv, on 28 August 2025.</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procurement instrument for the Tel Aviv Municipal Education Authority. By signing below, both parties acknowledge and agree to all terms, conditions, and obligations set forth in this document regarding the engagement of Teacher Secondary personnel in the Tel Aviv, Israel education system.</w:t>
      </w:r>
    </w:p>
    <w:p>
      <w:pPr>
        <w:pStyle w:val="BodyText"/>
      </w:pPr>
      <w:r>
        <w:rPr>
          <w:bCs/>
          <w:b/>
        </w:rPr>
        <w:t xml:space="preserve">For the Tel Aviv Municipal Education Authority:</w:t>
      </w:r>
    </w:p>
    <w:p>
      <w:pPr>
        <w:pStyle w:val="BodyText"/>
      </w:pPr>
      <w:r>
        <w:t xml:space="preserve">Name: Dr. Miriam Levi</w:t>
      </w:r>
    </w:p>
    <w:p>
      <w:pPr>
        <w:pStyle w:val="BodyText"/>
      </w:pPr>
      <w:r>
        <w:t xml:space="preserve">Title: Director of Secondary Education Procurement</w:t>
      </w:r>
    </w:p>
    <w:p>
      <w:pPr>
        <w:pStyle w:val="BodyText"/>
      </w:pPr>
      <w:r>
        <w:t xml:space="preserve">Signature: ___________________________</w:t>
      </w:r>
      <w:r>
        <w:t xml:space="preserve"> </w:t>
      </w:r>
      <w:r>
        <w:t xml:space="preserve">Date: ___________________________</w:t>
      </w:r>
    </w:p>
    <w:p>
      <w:pPr>
        <w:pStyle w:val="BodyText"/>
      </w:pPr>
      <w:r>
        <w:rPr>
          <w:bCs/>
          <w:b/>
        </w:rPr>
        <w:t xml:space="preserve">For EduStaff Israel Ltd. (Vendor):</w:t>
      </w:r>
    </w:p>
    <w:p>
      <w:pPr>
        <w:pStyle w:val="BodyText"/>
      </w:pPr>
      <w:r>
        <w:t xml:space="preserve">Name: Mr. David Cohen</w:t>
      </w:r>
    </w:p>
    <w:p>
      <w:pPr>
        <w:pStyle w:val="BodyText"/>
      </w:pPr>
      <w:r>
        <w:t xml:space="preserve">Title: Chief Executive Officer</w:t>
      </w:r>
    </w:p>
    <w:p>
      <w:pPr>
        <w:pStyle w:val="BodyText"/>
      </w:pPr>
      <w:r>
        <w:t xml:space="preserve">Signature: ___________________________</w:t>
      </w:r>
      <w:r>
        <w:t xml:space="preserve"> </w:t>
      </w:r>
      <w:r>
        <w:t xml:space="preserve">Date: ___________________________</w:t>
      </w:r>
    </w:p>
    <w:p>
      <w:pPr>
        <w:pStyle w:val="BodyText"/>
      </w:pPr>
      <w:r>
        <w:t xml:space="preserve">Purchase Order PO-TLV-SEC-2025-0487 | Tel Aviv Municipal Education Authority | Tel Aviv-Yafo, Israel</w:t>
      </w:r>
    </w:p>
    <w:p>
      <w:pPr>
        <w:pStyle w:val="BodyText"/>
      </w:pPr>
      <w:r>
        <w:t xml:space="preserve">This document is issued in accordance with the Israeli Public Procurement Law, 5761-2001. All Teacher Secondary engagements are subject to the regulations of the Ministry of Education, State of Israel.</w:t>
      </w:r>
    </w:p>
    <w:p>
      <w:pPr>
        <w:pStyle w:val="BodyText"/>
      </w:pPr>
      <w:r>
        <w:t xml:space="preserve">Document generated on 15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Israel Tel Aviv</dc:title>
  <dc:creator/>
  <dc:language>en</dc:language>
  <cp:keywords/>
  <dcterms:created xsi:type="dcterms:W3CDTF">2026-10-10T02:05:40Z</dcterms:created>
  <dcterms:modified xsi:type="dcterms:W3CDTF">2026-10-10T02:05:40Z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