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Teacher Secondary Educational Procurement — Japan Tokyo Region</w:t>
      </w:r>
    </w:p>
    <w:p>
      <w:pPr>
        <w:pStyle w:val="BodyText"/>
      </w:pPr>
      <w:r>
        <w:t xml:space="preserve">Official Document for Secondary Education Supply Chain</w:t>
      </w:r>
    </w:p>
    <w:bookmarkEnd w:id="20"/>
    <w:p>
      <w:pPr>
        <w:pStyle w:val="BodyText"/>
      </w:pPr>
      <w:r>
        <w:rPr>
          <w:bCs/>
          <w:b/>
        </w:rPr>
        <w:t xml:space="preserve">Purchase Order No.:</w:t>
      </w:r>
      <w:r>
        <w:t xml:space="preserve"> </w:t>
      </w:r>
      <w:r>
        <w:t xml:space="preserve">JPT-2025-TS-04872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Japanese Yen (JPY)</w:t>
      </w:r>
      <w:r>
        <w:br/>
      </w:r>
      <w:r>
        <w:rPr>
          <w:bCs/>
          <w:b/>
        </w:rPr>
        <w:t xml:space="preserve">Region:</w:t>
      </w:r>
      <w:r>
        <w:t xml:space="preserve"> </w:t>
      </w:r>
      <w:r>
        <w:t xml:space="preserve">Japan Tokyo</w:t>
      </w:r>
    </w:p>
    <w:p>
      <w:pPr>
        <w:pStyle w:val="BodyText"/>
      </w:pPr>
      <w:r>
        <w:t xml:space="preserve">1. Buyer Information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Tokyo Metropolitan Board of Education — Secondary Division</w:t>
            </w:r>
          </w:p>
        </w:tc>
        <w:tc>
          <w:tcPr/>
          <w:p>
            <w:pPr>
              <w:pStyle w:val="Compact"/>
              <w:jc w:val="left"/>
            </w:pPr>
            <w:r>
              <w:rPr>
                <w:bCs/>
                <w:b/>
              </w:rPr>
              <w:t xml:space="preserve">Address:</w:t>
            </w:r>
            <w:r>
              <w:t xml:space="preserve"> </w:t>
            </w:r>
            <w:r>
              <w:t xml:space="preserve">2-1-1 Nishi-Shimbashi, Minato-ku, Japan Tokyo 105-0003</w:t>
            </w:r>
          </w:p>
        </w:tc>
      </w:tr>
      <w:tr>
        <w:tc>
          <w:tcPr/>
          <w:p>
            <w:pPr>
              <w:pStyle w:val="Compact"/>
              <w:jc w:val="left"/>
            </w:pPr>
            <w:r>
              <w:rPr>
                <w:bCs/>
                <w:b/>
              </w:rPr>
              <w:t xml:space="preserve">Contact Person:</w:t>
            </w:r>
            <w:r>
              <w:t xml:space="preserve"> </w:t>
            </w:r>
            <w:r>
              <w:t xml:space="preserve">Mr. Kenji Tanaka, Procurement Officer</w:t>
            </w:r>
          </w:p>
        </w:tc>
        <w:tc>
          <w:tcPr/>
          <w:p>
            <w:pPr>
              <w:pStyle w:val="Compact"/>
              <w:jc w:val="left"/>
            </w:pPr>
            <w:r>
              <w:rPr>
                <w:bCs/>
                <w:b/>
              </w:rPr>
              <w:t xml:space="preserve">Phone:</w:t>
            </w:r>
            <w:r>
              <w:t xml:space="preserve"> </w:t>
            </w:r>
            <w:r>
              <w:t xml:space="preserve">+81-3-5285-1111</w:t>
            </w:r>
          </w:p>
        </w:tc>
      </w:tr>
      <w:tr>
        <w:tc>
          <w:tcPr/>
          <w:p>
            <w:pPr>
              <w:pStyle w:val="Compact"/>
              <w:jc w:val="left"/>
            </w:pPr>
            <w:r>
              <w:rPr>
                <w:bCs/>
                <w:b/>
              </w:rPr>
              <w:t xml:space="preserve">Email:</w:t>
            </w:r>
            <w:r>
              <w:t xml:space="preserve"> </w:t>
            </w:r>
            <w:r>
              <w:t xml:space="preserve">procurement.secondary@tokyo-metropolitan-edu.go.jp</w:t>
            </w:r>
          </w:p>
        </w:tc>
        <w:tc>
          <w:tcPr/>
          <w:p>
            <w:pPr>
              <w:pStyle w:val="Compact"/>
              <w:jc w:val="left"/>
            </w:pPr>
            <w:r>
              <w:rPr>
                <w:bCs/>
                <w:b/>
              </w:rPr>
              <w:t xml:space="preserve">Department:</w:t>
            </w:r>
            <w:r>
              <w:t xml:space="preserve"> </w:t>
            </w:r>
            <w:r>
              <w:t xml:space="preserve">Teacher Secondary Resources &amp; Development</w:t>
            </w:r>
          </w:p>
        </w:tc>
      </w:tr>
    </w:tbl>
    <w:p>
      <w:pPr>
        <w:pStyle w:val="BodyText"/>
      </w:pPr>
      <w:r>
        <w:t xml:space="preserve">2. Supplier Information (Selling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Nippon Educational Supplies Co., Ltd.</w:t>
            </w:r>
          </w:p>
        </w:tc>
        <w:tc>
          <w:tcPr/>
          <w:p>
            <w:pPr>
              <w:pStyle w:val="Compact"/>
              <w:jc w:val="left"/>
            </w:pPr>
            <w:r>
              <w:rPr>
                <w:bCs/>
                <w:b/>
              </w:rPr>
              <w:t xml:space="preserve">Address:</w:t>
            </w:r>
            <w:r>
              <w:t xml:space="preserve"> </w:t>
            </w:r>
            <w:r>
              <w:t xml:space="preserve">4-2-8 Shibuya, Shibuya-ku, Japan Tokyo 150-0002</w:t>
            </w:r>
          </w:p>
        </w:tc>
      </w:tr>
      <w:tr>
        <w:tc>
          <w:tcPr/>
          <w:p>
            <w:pPr>
              <w:pStyle w:val="Compact"/>
              <w:jc w:val="left"/>
            </w:pPr>
            <w:r>
              <w:rPr>
                <w:bCs/>
                <w:b/>
              </w:rPr>
              <w:t xml:space="preserve">Contact Person:</w:t>
            </w:r>
            <w:r>
              <w:t xml:space="preserve"> </w:t>
            </w:r>
            <w:r>
              <w:t xml:space="preserve">Ms. Yuki Sato, Sales Director</w:t>
            </w:r>
          </w:p>
        </w:tc>
        <w:tc>
          <w:tcPr/>
          <w:p>
            <w:pPr>
              <w:pStyle w:val="Compact"/>
              <w:jc w:val="left"/>
            </w:pPr>
            <w:r>
              <w:rPr>
                <w:bCs/>
                <w:b/>
              </w:rPr>
              <w:t xml:space="preserve">Phone:</w:t>
            </w:r>
            <w:r>
              <w:t xml:space="preserve"> </w:t>
            </w:r>
            <w:r>
              <w:t xml:space="preserve">+81-3-3477-2200</w:t>
            </w:r>
          </w:p>
        </w:tc>
      </w:tr>
      <w:tr>
        <w:tc>
          <w:tcPr/>
          <w:p>
            <w:pPr>
              <w:pStyle w:val="Compact"/>
              <w:jc w:val="left"/>
            </w:pPr>
            <w:r>
              <w:rPr>
                <w:bCs/>
                <w:b/>
              </w:rPr>
              <w:t xml:space="preserve">Email:</w:t>
            </w:r>
            <w:r>
              <w:t xml:space="preserve"> </w:t>
            </w:r>
            <w:r>
              <w:t xml:space="preserve">sales@nippon-edu-supplies.co.jp</w:t>
            </w:r>
          </w:p>
        </w:tc>
        <w:tc>
          <w:tcPr/>
          <w:p>
            <w:pPr>
              <w:pStyle w:val="Compact"/>
              <w:jc w:val="left"/>
            </w:pPr>
            <w:r>
              <w:rPr>
                <w:bCs/>
                <w:b/>
              </w:rPr>
              <w:t xml:space="preserve">Tax ID:</w:t>
            </w:r>
            <w:r>
              <w:t xml:space="preserve"> </w:t>
            </w:r>
            <w:r>
              <w:t xml:space="preserve">40-20100-XXXXX</w:t>
            </w:r>
          </w:p>
        </w:tc>
      </w:tr>
    </w:tbl>
    <w:p>
      <w:pPr>
        <w:pStyle w:val="BodyText"/>
      </w:pPr>
      <w:r>
        <w:t xml:space="preserve">3. Purpose and Scope of This Purchase Order</w:t>
      </w:r>
    </w:p>
    <w:p>
      <w:pPr>
        <w:pStyle w:val="BodyText"/>
      </w:pPr>
      <w:r>
        <w:t xml:space="preserve">This</w:t>
      </w:r>
      <w:r>
        <w:t xml:space="preserve"> </w:t>
      </w:r>
      <w:r>
        <w:t xml:space="preserve">Purchase Order</w:t>
      </w:r>
      <w:r>
        <w:t xml:space="preserve"> </w:t>
      </w:r>
      <w:r>
        <w:t xml:space="preserve">is issued by the Tokyo Metropolitan Board of Education to procure specialized educational materials, instructional technology, and classroom resources specifically designated for</w:t>
      </w:r>
      <w:r>
        <w:t xml:space="preserve"> </w:t>
      </w:r>
      <w:r>
        <w:t xml:space="preserve">Teacher Secondary</w:t>
      </w:r>
      <w:r>
        <w:t xml:space="preserve"> </w:t>
      </w:r>
      <w:r>
        <w:t xml:space="preserve">personnel operating within the</w:t>
      </w:r>
      <w:r>
        <w:t xml:space="preserve"> </w:t>
      </w:r>
      <w:r>
        <w:t xml:space="preserve">Japan Tokyo</w:t>
      </w:r>
      <w:r>
        <w:t xml:space="preserve"> </w:t>
      </w:r>
      <w:r>
        <w:t xml:space="preserve">metropolitan education district. The items listed below are intended to support the professional development, daily instructional delivery, and administrative functions of secondary-level educators across all public secondary schools in the Japan Tokyo region. This Purchase Order supersedes all prior verbal agreements and constitutes the sole binding procurement instrument for the fiscal quarter ending September 2025.</w:t>
      </w:r>
    </w:p>
    <w:p>
      <w:pPr>
        <w:pStyle w:val="BodyText"/>
      </w:pPr>
      <w:r>
        <w:t xml:space="preserve">4. Line Items — Teacher Secondary Procurement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Interactive Digital Whiteboard (86-inch) for Teacher Secondary classroom use — Japan Tokyo Model TS-8600</w:t>
            </w:r>
          </w:p>
        </w:tc>
        <w:tc>
          <w:tcPr/>
          <w:p>
            <w:pPr>
              <w:pStyle w:val="Compact"/>
              <w:jc w:val="left"/>
            </w:pPr>
            <w:r>
              <w:t xml:space="preserve">120</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002</w:t>
            </w:r>
          </w:p>
        </w:tc>
        <w:tc>
          <w:tcPr/>
          <w:p>
            <w:pPr>
              <w:pStyle w:val="Compact"/>
              <w:jc w:val="left"/>
            </w:pPr>
            <w:r>
              <w:t xml:space="preserve">Teacher Secondary Professional Development Kit (includes curriculum guides, assessment tools, and pedagogical reference manuals in Japanese and English)</w:t>
            </w:r>
          </w:p>
        </w:tc>
        <w:tc>
          <w:tcPr/>
          <w:p>
            <w:pPr>
              <w:pStyle w:val="Compact"/>
              <w:jc w:val="left"/>
            </w:pPr>
            <w:r>
              <w:t xml:space="preserve">350</w:t>
            </w:r>
          </w:p>
        </w:tc>
        <w:tc>
          <w:tcPr/>
          <w:p>
            <w:pPr>
              <w:pStyle w:val="Compact"/>
              <w:jc w:val="left"/>
            </w:pPr>
            <w:r>
              <w:t xml:space="preserve">12,800</w:t>
            </w:r>
          </w:p>
        </w:tc>
        <w:tc>
          <w:tcPr/>
          <w:p>
            <w:pPr>
              <w:pStyle w:val="Compact"/>
              <w:jc w:val="left"/>
            </w:pPr>
            <w:r>
              <w:t xml:space="preserve">4,480,000</w:t>
            </w:r>
          </w:p>
        </w:tc>
      </w:tr>
      <w:tr>
        <w:tc>
          <w:tcPr/>
          <w:p>
            <w:pPr>
              <w:pStyle w:val="Compact"/>
              <w:jc w:val="left"/>
            </w:pPr>
            <w:r>
              <w:t xml:space="preserve">003</w:t>
            </w:r>
          </w:p>
        </w:tc>
        <w:tc>
          <w:tcPr/>
          <w:p>
            <w:pPr>
              <w:pStyle w:val="Compact"/>
              <w:jc w:val="left"/>
            </w:pPr>
            <w:r>
              <w:t xml:space="preserve">Ergonomic Standing Desk System for Teacher Secondary workstations — Japan Tokyo Office Standard</w:t>
            </w:r>
          </w:p>
        </w:tc>
        <w:tc>
          <w:tcPr/>
          <w:p>
            <w:pPr>
              <w:pStyle w:val="Compact"/>
              <w:jc w:val="left"/>
            </w:pPr>
            <w:r>
              <w:t xml:space="preserve">200</w:t>
            </w:r>
          </w:p>
        </w:tc>
        <w:tc>
          <w:tcPr/>
          <w:p>
            <w:pPr>
              <w:pStyle w:val="Compact"/>
              <w:jc w:val="left"/>
            </w:pPr>
            <w:r>
              <w:t xml:space="preserve">98,500</w:t>
            </w:r>
          </w:p>
        </w:tc>
        <w:tc>
          <w:tcPr/>
          <w:p>
            <w:pPr>
              <w:pStyle w:val="Compact"/>
              <w:jc w:val="left"/>
            </w:pPr>
            <w:r>
              <w:t xml:space="preserve">19,700,000</w:t>
            </w:r>
          </w:p>
        </w:tc>
      </w:tr>
      <w:tr>
        <w:tc>
          <w:tcPr/>
          <w:p>
            <w:pPr>
              <w:pStyle w:val="Compact"/>
              <w:jc w:val="left"/>
            </w:pPr>
            <w:r>
              <w:t xml:space="preserve">004</w:t>
            </w:r>
          </w:p>
        </w:tc>
        <w:tc>
          <w:tcPr/>
          <w:p>
            <w:pPr>
              <w:pStyle w:val="Compact"/>
              <w:jc w:val="left"/>
            </w:pPr>
            <w:r>
              <w:t xml:space="preserve">Scientific Laboratory Equipment Set (Chemistry, Physics, Biology) for Teacher Secondary practical sessions</w:t>
            </w:r>
          </w:p>
        </w:tc>
        <w:tc>
          <w:tcPr/>
          <w:p>
            <w:pPr>
              <w:pStyle w:val="Compact"/>
              <w:jc w:val="left"/>
            </w:pPr>
            <w:r>
              <w:t xml:space="preserve">85</w:t>
            </w:r>
          </w:p>
        </w:tc>
        <w:tc>
          <w:tcPr/>
          <w:p>
            <w:pPr>
              <w:pStyle w:val="Compact"/>
              <w:jc w:val="left"/>
            </w:pPr>
            <w:r>
              <w:t xml:space="preserve">456,000</w:t>
            </w:r>
          </w:p>
        </w:tc>
        <w:tc>
          <w:tcPr/>
          <w:p>
            <w:pPr>
              <w:pStyle w:val="Compact"/>
              <w:jc w:val="left"/>
            </w:pPr>
            <w:r>
              <w:t xml:space="preserve">38,760,000</w:t>
            </w:r>
          </w:p>
        </w:tc>
      </w:tr>
      <w:tr>
        <w:tc>
          <w:tcPr/>
          <w:p>
            <w:pPr>
              <w:pStyle w:val="Compact"/>
              <w:jc w:val="left"/>
            </w:pPr>
            <w:r>
              <w:t xml:space="preserve">005</w:t>
            </w:r>
          </w:p>
        </w:tc>
        <w:tc>
          <w:tcPr/>
          <w:p>
            <w:pPr>
              <w:pStyle w:val="Compact"/>
              <w:jc w:val="left"/>
            </w:pPr>
            <w:r>
              <w:t xml:space="preserve">Tablet Devices (11-inch, education-licensed) for Teacher Secondary digital lesson planning — Japan Tokyo Education Edition</w:t>
            </w:r>
          </w:p>
        </w:tc>
        <w:tc>
          <w:tcPr/>
          <w:p>
            <w:pPr>
              <w:pStyle w:val="Compact"/>
              <w:jc w:val="left"/>
            </w:pPr>
            <w:r>
              <w:t xml:space="preserve">400</w:t>
            </w:r>
          </w:p>
        </w:tc>
        <w:tc>
          <w:tcPr/>
          <w:p>
            <w:pPr>
              <w:pStyle w:val="Compact"/>
              <w:jc w:val="left"/>
            </w:pPr>
            <w:r>
              <w:t xml:space="preserve">72,000</w:t>
            </w:r>
          </w:p>
        </w:tc>
        <w:tc>
          <w:tcPr/>
          <w:p>
            <w:pPr>
              <w:pStyle w:val="Compact"/>
              <w:jc w:val="left"/>
            </w:pPr>
            <w:r>
              <w:t xml:space="preserve">28,800,000</w:t>
            </w:r>
          </w:p>
        </w:tc>
      </w:tr>
      <w:tr>
        <w:tc>
          <w:tcPr/>
          <w:p>
            <w:pPr>
              <w:pStyle w:val="Compact"/>
              <w:jc w:val="left"/>
            </w:pPr>
            <w:r>
              <w:t xml:space="preserve">006</w:t>
            </w:r>
          </w:p>
        </w:tc>
        <w:tc>
          <w:tcPr/>
          <w:p>
            <w:pPr>
              <w:pStyle w:val="Compact"/>
              <w:jc w:val="left"/>
            </w:pPr>
            <w:r>
              <w:t xml:space="preserve">Classroom Audio-Visual Projection System (4K Laser Projector + Speaker Array) for Teacher Secondary multimedia instruction</w:t>
            </w:r>
          </w:p>
        </w:tc>
        <w:tc>
          <w:tcPr/>
          <w:p>
            <w:pPr>
              <w:pStyle w:val="Compact"/>
              <w:jc w:val="left"/>
            </w:pPr>
            <w:r>
              <w:t xml:space="preserve">150</w:t>
            </w:r>
          </w:p>
        </w:tc>
        <w:tc>
          <w:tcPr/>
          <w:p>
            <w:pPr>
              <w:pStyle w:val="Compact"/>
              <w:jc w:val="left"/>
            </w:pPr>
            <w:r>
              <w:t xml:space="preserve">165,000</w:t>
            </w:r>
          </w:p>
        </w:tc>
        <w:tc>
          <w:tcPr/>
          <w:p>
            <w:pPr>
              <w:pStyle w:val="Compact"/>
              <w:jc w:val="left"/>
            </w:pPr>
            <w:r>
              <w:t xml:space="preserve">24,750,000</w:t>
            </w:r>
          </w:p>
        </w:tc>
      </w:tr>
      <w:tr>
        <w:tc>
          <w:tcPr/>
          <w:p>
            <w:pPr>
              <w:pStyle w:val="Compact"/>
              <w:jc w:val="left"/>
            </w:pPr>
            <w:r>
              <w:t xml:space="preserve">007</w:t>
            </w:r>
          </w:p>
        </w:tc>
        <w:tc>
          <w:tcPr/>
          <w:p>
            <w:pPr>
              <w:pStyle w:val="Compact"/>
              <w:jc w:val="left"/>
            </w:pPr>
            <w:r>
              <w:t xml:space="preserve">Teacher Secondary Annual Subscription — Digital Resource Platform (Japan Tokyo Regional License, 12-month access)</w:t>
            </w:r>
          </w:p>
        </w:tc>
        <w:tc>
          <w:tcPr/>
          <w:p>
            <w:pPr>
              <w:pStyle w:val="Compact"/>
              <w:jc w:val="left"/>
            </w:pPr>
            <w:r>
              <w:t xml:space="preserve">500</w:t>
            </w:r>
          </w:p>
        </w:tc>
        <w:tc>
          <w:tcPr/>
          <w:p>
            <w:pPr>
              <w:pStyle w:val="Compact"/>
              <w:jc w:val="left"/>
            </w:pPr>
            <w:r>
              <w:t xml:space="preserve">28,000</w:t>
            </w:r>
          </w:p>
        </w:tc>
        <w:tc>
          <w:tcPr/>
          <w:p>
            <w:pPr>
              <w:pStyle w:val="Compact"/>
              <w:jc w:val="left"/>
            </w:pPr>
            <w:r>
              <w:t xml:space="preserve">14,000,000</w:t>
            </w:r>
          </w:p>
        </w:tc>
      </w:tr>
      <w:tr>
        <w:tc>
          <w:tcPr/>
          <w:p>
            <w:pPr>
              <w:pStyle w:val="Compact"/>
              <w:jc w:val="left"/>
            </w:pPr>
            <w:r>
              <w:t xml:space="preserve">008</w:t>
            </w:r>
          </w:p>
        </w:tc>
        <w:tc>
          <w:tcPr/>
          <w:p>
            <w:pPr>
              <w:pStyle w:val="Compact"/>
              <w:jc w:val="left"/>
            </w:pPr>
            <w:r>
              <w:t xml:space="preserve">Specialized Teaching Aids &amp; Manipulatives (Mathematics, Geometry, Statistics) for Teacher Secondary secondary curriculum</w:t>
            </w:r>
          </w:p>
        </w:tc>
        <w:tc>
          <w:tcPr/>
          <w:p>
            <w:pPr>
              <w:pStyle w:val="Compact"/>
              <w:jc w:val="left"/>
            </w:pPr>
            <w:r>
              <w:t xml:space="preserve">600</w:t>
            </w:r>
          </w:p>
        </w:tc>
        <w:tc>
          <w:tcPr/>
          <w:p>
            <w:pPr>
              <w:pStyle w:val="Compact"/>
              <w:jc w:val="left"/>
            </w:pPr>
            <w:r>
              <w:t xml:space="preserve">8,500</w:t>
            </w:r>
          </w:p>
        </w:tc>
        <w:tc>
          <w:tcPr/>
          <w:p>
            <w:pPr>
              <w:pStyle w:val="Compact"/>
              <w:jc w:val="left"/>
            </w:pPr>
            <w:r>
              <w:t xml:space="preserve">5,100,000</w:t>
            </w:r>
          </w:p>
        </w:tc>
      </w:tr>
      <w:tr>
        <w:tc>
          <w:tcPr>
            <w:gridSpan w:val="4"/>
          </w:tcPr>
          <w:p>
            <w:pPr>
              <w:pStyle w:val="Compact"/>
              <w:jc w:val="right"/>
            </w:pPr>
            <w:r>
              <w:t xml:space="preserve">SUBTOTAL</w:t>
            </w:r>
          </w:p>
        </w:tc>
        <w:tc>
          <w:tcPr/>
          <w:p>
            <w:pPr>
              <w:pStyle w:val="Compact"/>
              <w:jc w:val="left"/>
            </w:pPr>
            <w:r>
              <w:t xml:space="preserve">170,790,000</w:t>
            </w:r>
          </w:p>
        </w:tc>
      </w:tr>
      <w:tr>
        <w:tc>
          <w:tcPr>
            <w:gridSpan w:val="4"/>
          </w:tcPr>
          <w:p>
            <w:pPr>
              <w:pStyle w:val="Compact"/>
              <w:jc w:val="right"/>
            </w:pPr>
            <w:r>
              <w:t xml:space="preserve">Consumption Tax (10%)</w:t>
            </w:r>
          </w:p>
        </w:tc>
        <w:tc>
          <w:tcPr/>
          <w:p>
            <w:pPr>
              <w:pStyle w:val="Compact"/>
              <w:jc w:val="left"/>
            </w:pPr>
            <w:r>
              <w:t xml:space="preserve">17,079,000</w:t>
            </w:r>
          </w:p>
        </w:tc>
      </w:tr>
      <w:tr>
        <w:tc>
          <w:tcPr>
            <w:gridSpan w:val="4"/>
          </w:tcPr>
          <w:p>
            <w:pPr>
              <w:pStyle w:val="Compact"/>
              <w:jc w:val="right"/>
            </w:pPr>
            <w:r>
              <w:t xml:space="preserve">GRAND TOTAL (JPY)</w:t>
            </w:r>
          </w:p>
        </w:tc>
        <w:tc>
          <w:tcPr/>
          <w:p>
            <w:pPr>
              <w:pStyle w:val="Compact"/>
              <w:jc w:val="left"/>
            </w:pPr>
            <w:r>
              <w:t xml:space="preserve">187,869,000</w:t>
            </w:r>
          </w:p>
        </w:tc>
      </w:tr>
    </w:tbl>
    <w:p>
      <w:pPr>
        <w:pStyle w:val="BodyText"/>
      </w:pPr>
      <w:r>
        <w:t xml:space="preserve">5. Delivery and Logistics Terms</w:t>
      </w:r>
    </w:p>
    <w:p>
      <w:pPr>
        <w:pStyle w:val="BodyText"/>
      </w:pPr>
      <w:r>
        <w:t xml:space="preserve">All goods specified in this</w:t>
      </w:r>
      <w:r>
        <w:t xml:space="preserve"> </w:t>
      </w:r>
      <w:r>
        <w:t xml:space="preserve">Purchase Order</w:t>
      </w:r>
      <w:r>
        <w:t xml:space="preserve"> </w:t>
      </w:r>
      <w:r>
        <w:t xml:space="preserve">shall be delivered to the designated</w:t>
      </w:r>
      <w:r>
        <w:t xml:space="preserve"> </w:t>
      </w:r>
      <w:r>
        <w:t xml:space="preserve">Teacher Secondary</w:t>
      </w:r>
      <w:r>
        <w:t xml:space="preserve"> </w:t>
      </w:r>
      <w:r>
        <w:t xml:space="preserve">school facilities located throughout the</w:t>
      </w:r>
      <w:r>
        <w:t xml:space="preserve"> </w:t>
      </w:r>
      <w:r>
        <w:t xml:space="preserve">Japan Tokyo</w:t>
      </w:r>
      <w:r>
        <w:t xml:space="preserve"> </w:t>
      </w:r>
      <w:r>
        <w:t xml:space="preserve">metropolitan area, including but not limited to the wards of Chiyoda, Shibuya, Shinjuku, Minato, and Setagaya. The supplier shall coordinate delivery schedules with the Japan Tokyo Regional Education Logistics Office no fewer than fourteen (14) business days prior to each scheduled delivery date. All shipments must be made in accordance with Japan Tokyo municipal transportation regulations and must arrive in original, undamaged packaging. The supplier bears full responsibility for goods until they are received and signed for by the authorized Teacher Secondary facility manager at each Japan Tokyo delivery point.</w:t>
      </w:r>
    </w:p>
    <w:p>
      <w:pPr>
        <w:pStyle w:val="BodyText"/>
      </w:pPr>
      <w:r>
        <w:t xml:space="preserve">6. Payment Terms</w:t>
      </w:r>
    </w:p>
    <w:p>
      <w:pPr>
        <w:pStyle w:val="BodyText"/>
      </w:pPr>
      <w:r>
        <w:t xml:space="preserve">Payment for this Purchase Order shall be made via bank transfer to the supplier's designated account within thirty (30) calendar days of the date of full and satisfactory delivery of all Teacher Secondary items to the respective Japan Tokyo school locations. The buyer reserves the right to withhold payment for any line item that fails to meet the quality specifications outlined in the attached Technical Annex (Document Ref: JPT-2025-TS-04872-ANNEX-A). Late payments shall incur interest at a rate of 1.5% per month, calculated from the due date. All invoices must reference this Purchase Order number (JPT-2025-TS-04872) and must be submitted to the Japan Tokyo Procurement Accounting Division.</w:t>
      </w:r>
    </w:p>
    <w:p>
      <w:pPr>
        <w:pStyle w:val="BodyText"/>
      </w:pPr>
      <w:r>
        <w:t xml:space="preserve">7. Quality Assurance and Acceptance Criteria</w:t>
      </w:r>
    </w:p>
    <w:p>
      <w:pPr>
        <w:pStyle w:val="BodyText"/>
      </w:pPr>
      <w:r>
        <w:t xml:space="preserve">All products procured under this Purchase Order for Teacher Secondary use must comply with the Japanese Industrial Standards (JIS) applicable to educational equipment and must carry the appropriate safety certifications for use in Japan Tokyo public school environments. The buyer's Quality Assurance team, operating under the Teacher Secondary Standards Committee in Japan Tokyo, shall conduct a 10% random inspection of all delivered items within five (5) business days of receipt. Any items found to be defective, non-conforming, or not meeting the specifications required for Teacher Secondary instructional use in the Japan Tokyo district shall be returned to the supplier at the supplier's sole expense within ten (10) business days.</w:t>
      </w:r>
    </w:p>
    <w:p>
      <w:pPr>
        <w:pStyle w:val="BodyText"/>
      </w:pPr>
      <w:r>
        <w:t xml:space="preserve">8. General Terms and Conditions</w:t>
      </w:r>
    </w:p>
    <w:p>
      <w:pPr>
        <w:pStyle w:val="BodyText"/>
      </w:pPr>
      <w:r>
        <w:t xml:space="preserve">8.1. This Purchase Order is governed by the laws of Japan and shall be interpreted in accordance with the Japan Tokyo municipal procurement regulations applicable to public educational institutions.</w:t>
      </w:r>
    </w:p>
    <w:p>
      <w:pPr>
        <w:pStyle w:val="BodyText"/>
      </w:pPr>
      <w:r>
        <w:t xml:space="preserve">8.2. The supplier warrants that all goods supplied under this Purchase Order for Teacher Secondary use are new, unused, and free from defects in materials and workmanship for a period of no less than two (2) years from the date of delivery in Japan Tokyo.</w:t>
      </w:r>
    </w:p>
    <w:p>
      <w:pPr>
        <w:pStyle w:val="BodyText"/>
      </w:pPr>
      <w:r>
        <w:t xml:space="preserve">8.3. Neither party shall be liable for delays or failures in performance resulting from acts of God, natural disasters (including but not limited to earthquakes common to the Japan Tokyo region), government orders, or other force majeure events.</w:t>
      </w:r>
    </w:p>
    <w:p>
      <w:pPr>
        <w:pStyle w:val="BodyText"/>
      </w:pPr>
      <w:r>
        <w:t xml:space="preserve">8.4. This Purchase Order may not be assigned or transferred by either party without the prior written consent of the other party. Any modification to this Purchase Order must be executed in writing and signed by both the Teacher Secondary Procurement Authority and the Supplier's authorized representative.</w:t>
      </w:r>
    </w:p>
    <w:p>
      <w:pPr>
        <w:pStyle w:val="BodyText"/>
      </w:pPr>
      <w:r>
        <w:t xml:space="preserve">8.5. All intellectual property rights associated with the digital resources and software included in this Purchase Order for Teacher Secondary use in Japan Tokyo shall remain the property of the respective licensors. The buyer is granted a non-exclusive, non-transferable license for educational use within the Japan Tokyo public secondary school system only.</w:t>
      </w:r>
    </w:p>
    <w:p>
      <w:pPr>
        <w:pStyle w:val="BodyText"/>
      </w:pPr>
      <w:r>
        <w:t xml:space="preserve">8.6. Disputes arising from this Purchase Order shall be resolved through mediation in Japan Tokyo before any litigation is commenced. The courts of Japan Tokyo shall have exclusive jurisdiction.</w:t>
      </w:r>
    </w:p>
    <w:p>
      <w:pPr>
        <w:pStyle w:val="BodyText"/>
      </w:pPr>
      <w:r>
        <w:t xml:space="preserve">9. Authorization and Signatures</w:t>
      </w:r>
    </w:p>
    <w:p>
      <w:pPr>
        <w:pStyle w:val="BodyText"/>
      </w:pPr>
      <w:r>
        <w:rPr>
          <w:bCs/>
          <w:b/>
        </w:rPr>
        <w:t xml:space="preserve">For the Buyer (Tokyo Metropolitan Board of Education)</w:t>
      </w:r>
    </w:p>
    <w:p>
      <w:pPr>
        <w:pStyle w:val="BodyText"/>
      </w:pPr>
      <w:r>
        <w:t xml:space="preserve">Mr. Kenji Tanaka</w:t>
      </w:r>
      <w:r>
        <w:br/>
      </w:r>
      <w:r>
        <w:t xml:space="preserve">Procurement Officer, Teacher Secondary Division</w:t>
      </w:r>
      <w:r>
        <w:br/>
      </w:r>
      <w:r>
        <w:t xml:space="preserve">Japan Tokyo — Date: _______________</w:t>
      </w:r>
    </w:p>
    <w:p>
      <w:pPr>
        <w:pStyle w:val="BodyText"/>
      </w:pPr>
      <w:r>
        <w:rPr>
          <w:bCs/>
          <w:b/>
        </w:rPr>
        <w:t xml:space="preserve">For the Supplier (Nippon Educational Supplies Co., Ltd.)</w:t>
      </w:r>
    </w:p>
    <w:p>
      <w:pPr>
        <w:pStyle w:val="BodyText"/>
      </w:pPr>
      <w:r>
        <w:t xml:space="preserve">Ms. Yuki Sato</w:t>
      </w:r>
      <w:r>
        <w:br/>
      </w:r>
      <w:r>
        <w:t xml:space="preserve">Sales Director</w:t>
      </w:r>
      <w:r>
        <w:br/>
      </w:r>
      <w:r>
        <w:t xml:space="preserve">Japan Tokyo — Date: _______________</w:t>
      </w:r>
    </w:p>
    <w:p>
      <w:pPr>
        <w:pStyle w:val="BodyText"/>
      </w:pPr>
      <w:r>
        <w:t xml:space="preserve">[Official Seal of the Tokyo Metropolitan Board of Education — Teacher Secondary Procurement Division, Japan Tokyo]</w:t>
      </w:r>
      <w:r>
        <w:br/>
      </w:r>
      <w:r>
        <w:t xml:space="preserve">This Purchase Order is valid only when bearing the official seal and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Japan Tokyo</dc:title>
  <dc:creator/>
  <dc:language>en</dc:language>
  <cp:keywords/>
  <dcterms:created xsi:type="dcterms:W3CDTF">2026-10-10T01:56:03Z</dcterms:created>
  <dcterms:modified xsi:type="dcterms:W3CDTF">2026-10-10T01:56:03Z</dcterms:modified>
</cp:coreProperties>
</file>

<file path=docProps/custom.xml><?xml version="1.0" encoding="utf-8"?>
<Properties xmlns="http://schemas.openxmlformats.org/officeDocument/2006/custom-properties" xmlns:vt="http://schemas.openxmlformats.org/officeDocument/2006/docPropsVTypes"/>
</file>