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Kenya</w:t>
      </w:r>
      <w:r>
        <w:t xml:space="preserve"> </w:t>
      </w:r>
      <w:r>
        <w:t xml:space="preserve">Nairobi</w:t>
      </w:r>
    </w:p>
    <w:bookmarkStart w:id="20" w:name="purchase-order"/>
    <w:p>
      <w:pPr>
        <w:pStyle w:val="Heading1"/>
      </w:pPr>
      <w:r>
        <w:t xml:space="preserve">PURCHASE ORDER</w:t>
      </w:r>
    </w:p>
    <w:p>
      <w:pPr>
        <w:pStyle w:val="FirstParagraph"/>
      </w:pPr>
      <w:r>
        <w:t xml:space="preserve">Teacher Secondary Educational Supplies &amp; Equipment Procurement</w:t>
      </w:r>
    </w:p>
    <w:p>
      <w:pPr>
        <w:pStyle w:val="BodyText"/>
      </w:pPr>
      <w:r>
        <w:t xml:space="preserve">Kenya Nairobi | Republic of Kenya</w:t>
      </w:r>
    </w:p>
    <w:bookmarkEnd w:id="20"/>
    <w:p>
      <w:pPr>
        <w:pStyle w:val="BodyText"/>
      </w:pPr>
      <w:r>
        <w:rPr>
          <w:bCs/>
          <w:b/>
        </w:rPr>
        <w:t xml:space="preserve">Purchase Order No.:</w:t>
      </w:r>
      <w:r>
        <w:t xml:space="preserve"> </w:t>
      </w:r>
      <w:r>
        <w:t xml:space="preserve">PO-KEN-NBO-2025-04782</w:t>
      </w:r>
      <w:r>
        <w:br/>
      </w:r>
      <w:r>
        <w:rPr>
          <w:bCs/>
          <w:b/>
        </w:rPr>
        <w:t xml:space="preserve">Date of Issue:</w:t>
      </w:r>
      <w:r>
        <w:t xml:space="preserve"> </w:t>
      </w:r>
      <w:r>
        <w:t xml:space="preserve">14th June 2025</w:t>
      </w:r>
      <w:r>
        <w:br/>
      </w:r>
      <w:r>
        <w:rPr>
          <w:bCs/>
          <w:b/>
        </w:rPr>
        <w:t xml:space="preserve">Valid Until:</w:t>
      </w:r>
      <w:r>
        <w:t xml:space="preserve"> </w:t>
      </w:r>
      <w:r>
        <w:t xml:space="preserve">14th July 2025</w:t>
      </w:r>
    </w:p>
    <w:p>
      <w:pPr>
        <w:pStyle w:val="BodyText"/>
      </w:pPr>
      <w:r>
        <w:rPr>
          <w:bCs/>
          <w:b/>
        </w:rPr>
        <w:t xml:space="preserve">Delivery Location:</w:t>
      </w:r>
      <w:r>
        <w:t xml:space="preserve"> </w:t>
      </w:r>
      <w:r>
        <w:t xml:space="preserve">Nairobi, Kenya</w:t>
      </w:r>
      <w:r>
        <w:br/>
      </w:r>
      <w:r>
        <w:rPr>
          <w:bCs/>
          <w:b/>
        </w:rPr>
        <w:t xml:space="preserve">Payment Terms:</w:t>
      </w:r>
      <w:r>
        <w:t xml:space="preserve"> </w:t>
      </w:r>
      <w:r>
        <w:t xml:space="preserve">Net 30 Days</w:t>
      </w:r>
      <w:r>
        <w:br/>
      </w:r>
      <w:r>
        <w:rPr>
          <w:bCs/>
          <w:b/>
        </w:rPr>
        <w:t xml:space="preserve">Currency:</w:t>
      </w:r>
      <w:r>
        <w:t xml:space="preserve"> </w:t>
      </w:r>
      <w:r>
        <w:t xml:space="preserve">Kenyan Shillings (KES)</w:t>
      </w:r>
    </w:p>
    <w:bookmarkStart w:id="21" w:name="buyer-requisitioning-party"/>
    <w:p>
      <w:pPr>
        <w:pStyle w:val="Heading3"/>
      </w:pPr>
      <w:r>
        <w:t xml:space="preserve">BUYER (Requisitioning Party)</w:t>
      </w:r>
    </w:p>
    <w:p>
      <w:pPr>
        <w:pStyle w:val="FirstParagraph"/>
      </w:pPr>
      <w:r>
        <w:rPr>
          <w:bCs/>
          <w:b/>
        </w:rPr>
        <w:t xml:space="preserve">Name:</w:t>
      </w:r>
      <w:r>
        <w:t xml:space="preserve"> </w:t>
      </w:r>
      <w:r>
        <w:t xml:space="preserve">Ms. Grace Wanjiku Muthoni</w:t>
      </w:r>
      <w:r>
        <w:br/>
      </w:r>
      <w:r>
        <w:rPr>
          <w:bCs/>
          <w:b/>
        </w:rPr>
        <w:t xml:space="preserve">Title:</w:t>
      </w:r>
      <w:r>
        <w:t xml:space="preserve"> </w:t>
      </w:r>
      <w:r>
        <w:t xml:space="preserve">Teacher Secondary – Mathematics &amp; Physics</w:t>
      </w:r>
      <w:r>
        <w:br/>
      </w:r>
      <w:r>
        <w:rPr>
          <w:bCs/>
          <w:b/>
        </w:rPr>
        <w:t xml:space="preserve">Institution:</w:t>
      </w:r>
      <w:r>
        <w:t xml:space="preserve"> </w:t>
      </w:r>
      <w:r>
        <w:t xml:space="preserve">Nairobi Secondary School, Karen Campus</w:t>
      </w:r>
      <w:r>
        <w:br/>
      </w:r>
      <w:r>
        <w:rPr>
          <w:bCs/>
          <w:b/>
        </w:rPr>
        <w:t xml:space="preserve">Address:</w:t>
      </w:r>
      <w:r>
        <w:t xml:space="preserve"> </w:t>
      </w:r>
      <w:r>
        <w:t xml:space="preserve">P.O. Box 4521, Karen Road, Nairobi, Kenya</w:t>
      </w:r>
      <w:r>
        <w:br/>
      </w:r>
      <w:r>
        <w:rPr>
          <w:bCs/>
          <w:b/>
        </w:rPr>
        <w:t xml:space="preserve">Phone:</w:t>
      </w:r>
      <w:r>
        <w:t xml:space="preserve"> </w:t>
      </w:r>
      <w:r>
        <w:t xml:space="preserve">+254 712 345 678</w:t>
      </w:r>
      <w:r>
        <w:br/>
      </w:r>
      <w:r>
        <w:rPr>
          <w:bCs/>
          <w:b/>
        </w:rPr>
        <w:t xml:space="preserve">Email:</w:t>
      </w:r>
      <w:r>
        <w:t xml:space="preserve"> </w:t>
      </w:r>
      <w:r>
        <w:t xml:space="preserve">g.muthoni@nairobi-secondary.ac.ke</w:t>
      </w:r>
      <w:r>
        <w:br/>
      </w:r>
      <w:r>
        <w:rPr>
          <w:bCs/>
          <w:b/>
        </w:rPr>
        <w:t xml:space="preserve">KRA PIN:</w:t>
      </w:r>
      <w:r>
        <w:t xml:space="preserve"> </w:t>
      </w:r>
      <w:r>
        <w:t xml:space="preserve">A045218732K</w:t>
      </w:r>
    </w:p>
    <w:bookmarkEnd w:id="21"/>
    <w:bookmarkStart w:id="22" w:name="seller-supplier"/>
    <w:p>
      <w:pPr>
        <w:pStyle w:val="Heading3"/>
      </w:pPr>
      <w:r>
        <w:t xml:space="preserve">SELLER (Supplier)</w:t>
      </w:r>
    </w:p>
    <w:p>
      <w:pPr>
        <w:pStyle w:val="FirstParagraph"/>
      </w:pPr>
      <w:r>
        <w:rPr>
          <w:bCs/>
          <w:b/>
        </w:rPr>
        <w:t xml:space="preserve">Name:</w:t>
      </w:r>
      <w:r>
        <w:t xml:space="preserve"> </w:t>
      </w:r>
      <w:r>
        <w:t xml:space="preserve">East African Educational Supplies Ltd.</w:t>
      </w:r>
      <w:r>
        <w:br/>
      </w:r>
      <w:r>
        <w:rPr>
          <w:bCs/>
          <w:b/>
        </w:rPr>
        <w:t xml:space="preserve">Address:</w:t>
      </w:r>
      <w:r>
        <w:t xml:space="preserve"> </w:t>
      </w:r>
      <w:r>
        <w:t xml:space="preserve">3rd Floor, Nairobi Mall, Mombasa Road, Nairobi, Kenya</w:t>
      </w:r>
      <w:r>
        <w:br/>
      </w:r>
      <w:r>
        <w:rPr>
          <w:bCs/>
          <w:b/>
        </w:rPr>
        <w:t xml:space="preserve">Phone:</w:t>
      </w:r>
      <w:r>
        <w:t xml:space="preserve"> </w:t>
      </w:r>
      <w:r>
        <w:t xml:space="preserve">+254 20 271 8900</w:t>
      </w:r>
      <w:r>
        <w:br/>
      </w:r>
      <w:r>
        <w:rPr>
          <w:bCs/>
          <w:b/>
        </w:rPr>
        <w:t xml:space="preserve">Email:</w:t>
      </w:r>
      <w:r>
        <w:t xml:space="preserve"> </w:t>
      </w:r>
      <w:r>
        <w:t xml:space="preserve">orders@eaesupplies.co.ke</w:t>
      </w:r>
      <w:r>
        <w:br/>
      </w:r>
      <w:r>
        <w:rPr>
          <w:bCs/>
          <w:b/>
        </w:rPr>
        <w:t xml:space="preserve">KRA PIN:</w:t>
      </w:r>
      <w:r>
        <w:t xml:space="preserve"> </w:t>
      </w:r>
      <w:r>
        <w:t xml:space="preserve">P051234567M</w:t>
      </w:r>
      <w:r>
        <w:br/>
      </w:r>
      <w:r>
        <w:rPr>
          <w:bCs/>
          <w:b/>
        </w:rPr>
        <w:t xml:space="preserve">Bank:</w:t>
      </w:r>
      <w:r>
        <w:t xml:space="preserve"> </w:t>
      </w:r>
      <w:r>
        <w:t xml:space="preserve">Equity Bank, Nairobi Branch</w:t>
      </w:r>
      <w:r>
        <w:br/>
      </w:r>
      <w:r>
        <w:rPr>
          <w:bCs/>
          <w:b/>
        </w:rPr>
        <w:t xml:space="preserve">Account No.:</w:t>
      </w:r>
      <w:r>
        <w:t xml:space="preserve"> </w:t>
      </w:r>
      <w:r>
        <w:t xml:space="preserve">0123456789</w:t>
      </w:r>
    </w:p>
    <w:bookmarkEnd w:id="22"/>
    <w:p>
      <w:pPr>
        <w:pStyle w:val="BodyText"/>
      </w:pPr>
      <w:r>
        <w:rPr>
          <w:bCs/>
          <w:b/>
        </w:rPr>
        <w:t xml:space="preserve">NOTE:</w:t>
      </w:r>
      <w:r>
        <w:t xml:space="preserve"> </w:t>
      </w:r>
      <w:r>
        <w:t xml:space="preserve">This Purchase Order is issued in support of the Teacher Secondary professional development and classroom resource programme for the 2025/2026 academic year in Kenya Nairobi. All items listed below are intended to enhance the instructional capacity of the Teacher Secondary at Nairobi Secondary School and comply with the Kenya National Council for Teachers of Education (KCPE) guidelines for secondary-level instruction.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(KES)</w:t>
            </w:r>
          </w:p>
        </w:tc>
        <w:tc>
          <w:tcPr/>
          <w:p>
            <w:pPr>
              <w:pStyle w:val="Compact"/>
              <w:jc w:val="left"/>
            </w:pPr>
            <w:r>
              <w:t xml:space="preserve">Total (KES)</w:t>
            </w:r>
          </w:p>
        </w:tc>
      </w:tr>
      <w:tr>
        <w:tc>
          <w:tcPr/>
          <w:p>
            <w:pPr>
              <w:pStyle w:val="Compact"/>
              <w:jc w:val="left"/>
            </w:pPr>
            <w:r>
              <w:t xml:space="preserve">01</w:t>
            </w:r>
          </w:p>
        </w:tc>
        <w:tc>
          <w:tcPr/>
          <w:p>
            <w:pPr>
              <w:pStyle w:val="Compact"/>
              <w:jc w:val="left"/>
            </w:pPr>
            <w:r>
              <w:t xml:space="preserve">Secondary School Mathematics Textbook – KNEC Approved (Teacher Secondary Edition, Form 1–4)</w:t>
            </w:r>
          </w:p>
        </w:tc>
        <w:tc>
          <w:tcPr/>
          <w:p>
            <w:pPr>
              <w:pStyle w:val="Compact"/>
              <w:jc w:val="left"/>
            </w:pPr>
            <w:r>
              <w:t xml:space="preserve">40</w:t>
            </w:r>
          </w:p>
        </w:tc>
        <w:tc>
          <w:tcPr/>
          <w:p>
            <w:pPr>
              <w:pStyle w:val="Compact"/>
              <w:jc w:val="left"/>
            </w:pPr>
            <w:r>
              <w:t xml:space="preserve">Copies</w:t>
            </w:r>
          </w:p>
        </w:tc>
        <w:tc>
          <w:tcPr/>
          <w:p>
            <w:pPr>
              <w:pStyle w:val="Compact"/>
              <w:jc w:val="left"/>
            </w:pPr>
            <w:r>
              <w:t xml:space="preserve">1,850.00</w:t>
            </w:r>
          </w:p>
        </w:tc>
        <w:tc>
          <w:tcPr/>
          <w:p>
            <w:pPr>
              <w:pStyle w:val="Compact"/>
              <w:jc w:val="left"/>
            </w:pPr>
            <w:r>
              <w:t xml:space="preserve">74,000.00</w:t>
            </w:r>
          </w:p>
        </w:tc>
      </w:tr>
      <w:tr>
        <w:tc>
          <w:tcPr/>
          <w:p>
            <w:pPr>
              <w:pStyle w:val="Compact"/>
              <w:jc w:val="left"/>
            </w:pPr>
            <w:r>
              <w:t xml:space="preserve">02</w:t>
            </w:r>
          </w:p>
        </w:tc>
        <w:tc>
          <w:tcPr/>
          <w:p>
            <w:pPr>
              <w:pStyle w:val="Compact"/>
              <w:jc w:val="left"/>
            </w:pPr>
            <w:r>
              <w:t xml:space="preserve">Physics Laboratory Equipment Kit for Teacher Secondary Demonstration (Nairobi Curriculum Aligned)</w:t>
            </w:r>
          </w:p>
        </w:tc>
        <w:tc>
          <w:tcPr/>
          <w:p>
            <w:pPr>
              <w:pStyle w:val="Compact"/>
              <w:jc w:val="left"/>
            </w:pPr>
            <w:r>
              <w:t xml:space="preserve">5</w:t>
            </w:r>
          </w:p>
        </w:tc>
        <w:tc>
          <w:tcPr/>
          <w:p>
            <w:pPr>
              <w:pStyle w:val="Compact"/>
              <w:jc w:val="left"/>
            </w:pPr>
            <w:r>
              <w:t xml:space="preserve">Sets</w:t>
            </w:r>
          </w:p>
        </w:tc>
        <w:tc>
          <w:tcPr/>
          <w:p>
            <w:pPr>
              <w:pStyle w:val="Compact"/>
              <w:jc w:val="left"/>
            </w:pPr>
            <w:r>
              <w:t xml:space="preserve">12,500.00</w:t>
            </w:r>
          </w:p>
        </w:tc>
        <w:tc>
          <w:tcPr/>
          <w:p>
            <w:pPr>
              <w:pStyle w:val="Compact"/>
              <w:jc w:val="left"/>
            </w:pPr>
            <w:r>
              <w:t xml:space="preserve">62,500.00</w:t>
            </w:r>
          </w:p>
        </w:tc>
      </w:tr>
      <w:tr>
        <w:tc>
          <w:tcPr/>
          <w:p>
            <w:pPr>
              <w:pStyle w:val="Compact"/>
              <w:jc w:val="left"/>
            </w:pPr>
            <w:r>
              <w:t xml:space="preserve">03</w:t>
            </w:r>
          </w:p>
        </w:tc>
        <w:tc>
          <w:tcPr/>
          <w:p>
            <w:pPr>
              <w:pStyle w:val="Compact"/>
              <w:jc w:val="left"/>
            </w:pPr>
            <w:r>
              <w:t xml:space="preserve">Interactive Whiteboard (86-inch) for Teacher Secondary Classroom, Nairobi Campus</w:t>
            </w:r>
          </w:p>
        </w:tc>
        <w:tc>
          <w:tcPr/>
          <w:p>
            <w:pPr>
              <w:pStyle w:val="Compact"/>
              <w:jc w:val="left"/>
            </w:pPr>
            <w:r>
              <w:t xml:space="preserve">2</w:t>
            </w:r>
          </w:p>
        </w:tc>
        <w:tc>
          <w:tcPr/>
          <w:p>
            <w:pPr>
              <w:pStyle w:val="Compact"/>
              <w:jc w:val="left"/>
            </w:pPr>
            <w:r>
              <w:t xml:space="preserve">Units</w:t>
            </w:r>
          </w:p>
        </w:tc>
        <w:tc>
          <w:tcPr/>
          <w:p>
            <w:pPr>
              <w:pStyle w:val="Compact"/>
              <w:jc w:val="left"/>
            </w:pPr>
            <w:r>
              <w:t xml:space="preserve">185,000.00</w:t>
            </w:r>
          </w:p>
        </w:tc>
        <w:tc>
          <w:tcPr/>
          <w:p>
            <w:pPr>
              <w:pStyle w:val="Compact"/>
              <w:jc w:val="left"/>
            </w:pPr>
            <w:r>
              <w:t xml:space="preserve">370,000.00</w:t>
            </w:r>
          </w:p>
        </w:tc>
      </w:tr>
      <w:tr>
        <w:tc>
          <w:tcPr/>
          <w:p>
            <w:pPr>
              <w:pStyle w:val="Compact"/>
              <w:jc w:val="left"/>
            </w:pPr>
            <w:r>
              <w:t xml:space="preserve">04</w:t>
            </w:r>
          </w:p>
        </w:tc>
        <w:tc>
          <w:tcPr/>
          <w:p>
            <w:pPr>
              <w:pStyle w:val="Compact"/>
              <w:jc w:val="left"/>
            </w:pPr>
            <w:r>
              <w:t xml:space="preserve">Geometric Solids and Measurement Tools Set for Teacher Secondary Practical Sessions</w:t>
            </w:r>
          </w:p>
        </w:tc>
        <w:tc>
          <w:tcPr/>
          <w:p>
            <w:pPr>
              <w:pStyle w:val="Compact"/>
              <w:jc w:val="left"/>
            </w:pPr>
            <w:r>
              <w:t xml:space="preserve">10</w:t>
            </w:r>
          </w:p>
        </w:tc>
        <w:tc>
          <w:tcPr/>
          <w:p>
            <w:pPr>
              <w:pStyle w:val="Compact"/>
              <w:jc w:val="left"/>
            </w:pPr>
            <w:r>
              <w:t xml:space="preserve">Sets</w:t>
            </w:r>
          </w:p>
        </w:tc>
        <w:tc>
          <w:tcPr/>
          <w:p>
            <w:pPr>
              <w:pStyle w:val="Compact"/>
              <w:jc w:val="left"/>
            </w:pPr>
            <w:r>
              <w:t xml:space="preserve">3,200.00</w:t>
            </w:r>
          </w:p>
        </w:tc>
        <w:tc>
          <w:tcPr/>
          <w:p>
            <w:pPr>
              <w:pStyle w:val="Compact"/>
              <w:jc w:val="left"/>
            </w:pPr>
            <w:r>
              <w:t xml:space="preserve">32,000.00</w:t>
            </w:r>
          </w:p>
        </w:tc>
      </w:tr>
      <w:tr>
        <w:tc>
          <w:tcPr/>
          <w:p>
            <w:pPr>
              <w:pStyle w:val="Compact"/>
              <w:jc w:val="left"/>
            </w:pPr>
            <w:r>
              <w:t xml:space="preserve">05</w:t>
            </w:r>
          </w:p>
        </w:tc>
        <w:tc>
          <w:tcPr/>
          <w:p>
            <w:pPr>
              <w:pStyle w:val="Compact"/>
              <w:jc w:val="left"/>
            </w:pPr>
            <w:r>
              <w:t xml:space="preserve">Teacher Secondary Professional Development Workshop Materials (Kenya Nairobi Education Board Certified)</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06</w:t>
            </w:r>
          </w:p>
        </w:tc>
        <w:tc>
          <w:tcPr/>
          <w:p>
            <w:pPr>
              <w:pStyle w:val="Compact"/>
              <w:jc w:val="left"/>
            </w:pPr>
            <w:r>
              <w:t xml:space="preserve">Scientific Calculators (Casio fx-991EX) for Teacher Secondary Student Distribution</w:t>
            </w:r>
          </w:p>
        </w:tc>
        <w:tc>
          <w:tcPr/>
          <w:p>
            <w:pPr>
              <w:pStyle w:val="Compact"/>
              <w:jc w:val="left"/>
            </w:pPr>
            <w:r>
              <w:t xml:space="preserve">120</w:t>
            </w:r>
          </w:p>
        </w:tc>
        <w:tc>
          <w:tcPr/>
          <w:p>
            <w:pPr>
              <w:pStyle w:val="Compact"/>
              <w:jc w:val="left"/>
            </w:pPr>
            <w:r>
              <w:t xml:space="preserve">Units</w:t>
            </w:r>
          </w:p>
        </w:tc>
        <w:tc>
          <w:tcPr/>
          <w:p>
            <w:pPr>
              <w:pStyle w:val="Compact"/>
              <w:jc w:val="left"/>
            </w:pPr>
            <w:r>
              <w:t xml:space="preserve">4,800.00</w:t>
            </w:r>
          </w:p>
        </w:tc>
        <w:tc>
          <w:tcPr/>
          <w:p>
            <w:pPr>
              <w:pStyle w:val="Compact"/>
              <w:jc w:val="left"/>
            </w:pPr>
            <w:r>
              <w:t xml:space="preserve">576,000.00</w:t>
            </w:r>
          </w:p>
        </w:tc>
      </w:tr>
      <w:tr>
        <w:tc>
          <w:tcPr/>
          <w:p>
            <w:pPr>
              <w:pStyle w:val="Compact"/>
              <w:jc w:val="left"/>
            </w:pPr>
            <w:r>
              <w:t xml:space="preserve">07</w:t>
            </w:r>
          </w:p>
        </w:tc>
        <w:tc>
          <w:tcPr/>
          <w:p>
            <w:pPr>
              <w:pStyle w:val="Compact"/>
              <w:jc w:val="left"/>
            </w:pPr>
            <w:r>
              <w:t xml:space="preserve">Classroom Projector (4000 Lumens) with Mounting Hardware for Teacher Secondary Lecture Hall</w:t>
            </w:r>
          </w:p>
        </w:tc>
        <w:tc>
          <w:tcPr/>
          <w:p>
            <w:pPr>
              <w:pStyle w:val="Compact"/>
              <w:jc w:val="left"/>
            </w:pPr>
            <w:r>
              <w:t xml:space="preserve">2</w:t>
            </w:r>
          </w:p>
        </w:tc>
        <w:tc>
          <w:tcPr/>
          <w:p>
            <w:pPr>
              <w:pStyle w:val="Compact"/>
              <w:jc w:val="left"/>
            </w:pPr>
            <w:r>
              <w:t xml:space="preserve">Units</w:t>
            </w:r>
          </w:p>
        </w:tc>
        <w:tc>
          <w:tcPr/>
          <w:p>
            <w:pPr>
              <w:pStyle w:val="Compact"/>
              <w:jc w:val="left"/>
            </w:pPr>
            <w:r>
              <w:t xml:space="preserve">98,000.00</w:t>
            </w:r>
          </w:p>
        </w:tc>
        <w:tc>
          <w:tcPr/>
          <w:p>
            <w:pPr>
              <w:pStyle w:val="Compact"/>
              <w:jc w:val="left"/>
            </w:pPr>
            <w:r>
              <w:t xml:space="preserve">196,000.00</w:t>
            </w:r>
          </w:p>
        </w:tc>
      </w:tr>
      <w:tr>
        <w:tc>
          <w:tcPr/>
          <w:p>
            <w:pPr>
              <w:pStyle w:val="Compact"/>
              <w:jc w:val="left"/>
            </w:pPr>
            <w:r>
              <w:t xml:space="preserve">08</w:t>
            </w:r>
          </w:p>
        </w:tc>
        <w:tc>
          <w:tcPr/>
          <w:p>
            <w:pPr>
              <w:pStyle w:val="Compact"/>
              <w:jc w:val="left"/>
            </w:pPr>
            <w:r>
              <w:t xml:space="preserve">Kenya Nairobi Secondary School Curriculum Guide 2025 (Teacher Secondary Reference)</w:t>
            </w:r>
          </w:p>
        </w:tc>
        <w:tc>
          <w:tcPr/>
          <w:p>
            <w:pPr>
              <w:pStyle w:val="Compact"/>
              <w:jc w:val="left"/>
            </w:pPr>
            <w:r>
              <w:t xml:space="preserve">15</w:t>
            </w:r>
          </w:p>
        </w:tc>
        <w:tc>
          <w:tcPr/>
          <w:p>
            <w:pPr>
              <w:pStyle w:val="Compact"/>
              <w:jc w:val="left"/>
            </w:pPr>
            <w:r>
              <w:t xml:space="preserve">Copies</w:t>
            </w:r>
          </w:p>
        </w:tc>
        <w:tc>
          <w:tcPr/>
          <w:p>
            <w:pPr>
              <w:pStyle w:val="Compact"/>
              <w:jc w:val="left"/>
            </w:pPr>
            <w:r>
              <w:t xml:space="preserve">2,400.00</w:t>
            </w:r>
          </w:p>
        </w:tc>
        <w:tc>
          <w:tcPr/>
          <w:p>
            <w:pPr>
              <w:pStyle w:val="Compact"/>
              <w:jc w:val="left"/>
            </w:pPr>
            <w:r>
              <w:t xml:space="preserve">36,000.00</w:t>
            </w:r>
          </w:p>
        </w:tc>
      </w:tr>
      <w:tr>
        <w:tc>
          <w:tcPr/>
          <w:p>
            <w:pPr>
              <w:pStyle w:val="Compact"/>
              <w:jc w:val="left"/>
            </w:pPr>
            <w:r>
              <w:t xml:space="preserve">09</w:t>
            </w:r>
          </w:p>
        </w:tc>
        <w:tc>
          <w:tcPr/>
          <w:p>
            <w:pPr>
              <w:pStyle w:val="Compact"/>
              <w:jc w:val="left"/>
            </w:pPr>
            <w:r>
              <w:t xml:space="preserve">Chemistry Laboratory Glassware and Reagents for Teacher Secondary Practical Examinations</w:t>
            </w:r>
          </w:p>
        </w:tc>
        <w:tc>
          <w:tcPr/>
          <w:p>
            <w:pPr>
              <w:pStyle w:val="Compact"/>
              <w:jc w:val="left"/>
            </w:pPr>
            <w:r>
              <w:t xml:space="preserve">8</w:t>
            </w:r>
          </w:p>
        </w:tc>
        <w:tc>
          <w:tcPr/>
          <w:p>
            <w:pPr>
              <w:pStyle w:val="Compact"/>
              <w:jc w:val="left"/>
            </w:pPr>
            <w:r>
              <w:t xml:space="preserve">Sets</w:t>
            </w:r>
          </w:p>
        </w:tc>
        <w:tc>
          <w:tcPr/>
          <w:p>
            <w:pPr>
              <w:pStyle w:val="Compact"/>
              <w:jc w:val="left"/>
            </w:pPr>
            <w:r>
              <w:t xml:space="preserve">18,750.00</w:t>
            </w:r>
          </w:p>
        </w:tc>
        <w:tc>
          <w:tcPr/>
          <w:p>
            <w:pPr>
              <w:pStyle w:val="Compact"/>
              <w:jc w:val="left"/>
            </w:pPr>
            <w:r>
              <w:t xml:space="preserve">150,000.00</w:t>
            </w:r>
          </w:p>
        </w:tc>
      </w:tr>
      <w:tr>
        <w:tc>
          <w:tcPr/>
          <w:p>
            <w:pPr>
              <w:pStyle w:val="Compact"/>
              <w:jc w:val="left"/>
            </w:pPr>
            <w:r>
              <w:t xml:space="preserve">10</w:t>
            </w:r>
          </w:p>
        </w:tc>
        <w:tc>
          <w:tcPr/>
          <w:p>
            <w:pPr>
              <w:pStyle w:val="Compact"/>
              <w:jc w:val="left"/>
            </w:pPr>
            <w:r>
              <w:t xml:space="preserve">Teacher Secondary Lesson Planning and Assessment Software License (Annual, Kenya Nairobi Region)</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65,000.00</w:t>
            </w:r>
          </w:p>
        </w:tc>
        <w:tc>
          <w:tcPr/>
          <w:p>
            <w:pPr>
              <w:pStyle w:val="Compact"/>
              <w:jc w:val="left"/>
            </w:pPr>
            <w:r>
              <w:t xml:space="preserve">65,000.00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KES 1,606,500.00</w:t>
            </w:r>
          </w:p>
        </w:tc>
      </w:tr>
      <w:tr>
        <w:tc>
          <w:tcPr/>
          <w:p>
            <w:pPr>
              <w:pStyle w:val="Compact"/>
              <w:jc w:val="left"/>
            </w:pPr>
            <w:r>
              <w:t xml:space="preserve">VAT (16% – Kenya Revenue Authority):</w:t>
            </w:r>
          </w:p>
        </w:tc>
        <w:tc>
          <w:tcPr/>
          <w:p>
            <w:pPr>
              <w:pStyle w:val="Compact"/>
              <w:jc w:val="left"/>
            </w:pPr>
            <w:r>
              <w:t xml:space="preserve">KES 257,040.00</w:t>
            </w:r>
          </w:p>
        </w:tc>
      </w:tr>
      <w:tr>
        <w:tc>
          <w:tcPr/>
          <w:p>
            <w:pPr>
              <w:pStyle w:val="Compact"/>
              <w:jc w:val="left"/>
            </w:pPr>
            <w:r>
              <w:t xml:space="preserve">Delivery &amp; Installation (Nairobi, Kenya):</w:t>
            </w:r>
          </w:p>
        </w:tc>
        <w:tc>
          <w:tcPr/>
          <w:p>
            <w:pPr>
              <w:pStyle w:val="Compact"/>
              <w:jc w:val="left"/>
            </w:pPr>
            <w:r>
              <w:t xml:space="preserve">KES 28,500.00</w:t>
            </w:r>
          </w:p>
        </w:tc>
      </w:tr>
      <w:tr>
        <w:tc>
          <w:tcPr/>
          <w:p>
            <w:pPr>
              <w:pStyle w:val="Compact"/>
              <w:jc w:val="left"/>
            </w:pPr>
            <w:r>
              <w:t xml:space="preserve">GRAND TOTAL:</w:t>
            </w:r>
          </w:p>
        </w:tc>
        <w:tc>
          <w:tcPr/>
          <w:p>
            <w:pPr>
              <w:pStyle w:val="Compact"/>
              <w:jc w:val="left"/>
            </w:pPr>
            <w:r>
              <w:t xml:space="preserve">KES 1,892,040.00</w:t>
            </w:r>
          </w:p>
        </w:tc>
      </w:tr>
    </w:tbl>
    <w:bookmarkStart w:id="23" w:name="Xde1b1aa910af0d218dd23eb59edb0f3a99f22fc"/>
    <w:p>
      <w:pPr>
        <w:pStyle w:val="Heading3"/>
      </w:pPr>
      <w:r>
        <w:t xml:space="preserve">TERMS AND CONDITIONS OF THIS PURCHASE ORDER</w:t>
      </w:r>
    </w:p>
    <w:p>
      <w:pPr>
        <w:numPr>
          <w:ilvl w:val="0"/>
          <w:numId w:val="1001"/>
        </w:numPr>
        <w:pStyle w:val="Compact"/>
      </w:pPr>
      <w:r>
        <w:t xml:space="preserve">This Purchase Order is governed by the laws of the Republic of Kenya and shall be interpreted in accordance with the Kenya Public Procurement and Asset Disposal Act, 2015, as applicable to educational institutions in Kenya Nairobi.</w:t>
      </w:r>
    </w:p>
    <w:p>
      <w:pPr>
        <w:numPr>
          <w:ilvl w:val="0"/>
          <w:numId w:val="1001"/>
        </w:numPr>
        <w:pStyle w:val="Compact"/>
      </w:pPr>
      <w:r>
        <w:t xml:space="preserve">All items specified in this Purchase Order are exclusively for the use of the Teacher Secondary at Nairobi Secondary School and shall not be resold, transferred, or repurposed without written authorization from the Buyer.</w:t>
      </w:r>
    </w:p>
    <w:p>
      <w:pPr>
        <w:numPr>
          <w:ilvl w:val="0"/>
          <w:numId w:val="1001"/>
        </w:numPr>
        <w:pStyle w:val="Compact"/>
      </w:pPr>
      <w:r>
        <w:t xml:space="preserve">The Seller shall deliver all goods to the designated Teacher Secondary classroom and laboratory facilities located in Karen, Nairobi, Kenya, within fourteen (14) calendar days of the date of this Purchase Order.</w:t>
      </w:r>
    </w:p>
    <w:p>
      <w:pPr>
        <w:numPr>
          <w:ilvl w:val="0"/>
          <w:numId w:val="1001"/>
        </w:numPr>
        <w:pStyle w:val="Compact"/>
      </w:pPr>
      <w:r>
        <w:t xml:space="preserve">Payment shall be made via bank transfer to the Seller's designated account at Equity Bank, Nairobi Branch, within thirty (30) days of confirmed delivery and acceptance of all items by the Teacher Secondary and the school's procurement committee.</w:t>
      </w:r>
    </w:p>
    <w:p>
      <w:pPr>
        <w:numPr>
          <w:ilvl w:val="0"/>
          <w:numId w:val="1001"/>
        </w:numPr>
        <w:pStyle w:val="Compact"/>
      </w:pPr>
      <w:r>
        <w:t xml:space="preserve">All electronic equipment (interactive whiteboards, projectors, and software) shall carry a minimum of a two-year manufacturer's warranty valid in Kenya Nairobi, with on-site repair service available within the Nairobi metropolitan area.</w:t>
      </w:r>
    </w:p>
    <w:p>
      <w:pPr>
        <w:numPr>
          <w:ilvl w:val="0"/>
          <w:numId w:val="1001"/>
        </w:numPr>
        <w:pStyle w:val="Compact"/>
      </w:pPr>
      <w:r>
        <w:t xml:space="preserve">The Seller warrants that all textbooks and curriculum materials are approved by the Kenya National Examinations Council (KNEC) and the Kenya Institute of Curriculum Development (KICD) for use in the Teacher Secondary programme.</w:t>
      </w:r>
    </w:p>
    <w:p>
      <w:pPr>
        <w:numPr>
          <w:ilvl w:val="0"/>
          <w:numId w:val="1001"/>
        </w:numPr>
        <w:pStyle w:val="Compact"/>
      </w:pPr>
      <w:r>
        <w:t xml:space="preserve">In the event of non-delivery, partial delivery, or defective goods, the Buyer reserves the right to reject the affected items and request a full or partial refund within seven (7) business days of the scheduled delivery date.</w:t>
      </w:r>
    </w:p>
    <w:p>
      <w:pPr>
        <w:numPr>
          <w:ilvl w:val="0"/>
          <w:numId w:val="1001"/>
        </w:numPr>
        <w:pStyle w:val="Compact"/>
      </w:pPr>
      <w:r>
        <w:t xml:space="preserve">This Purchase Order constitutes the entire agreement between the parties regarding the procurement of Teacher Secondary educational resources in Kenya Nairobi and supersedes all prior negotiations, representations, or agreements.</w:t>
      </w:r>
    </w:p>
    <w:p>
      <w:pPr>
        <w:numPr>
          <w:ilvl w:val="0"/>
          <w:numId w:val="1001"/>
        </w:numPr>
        <w:pStyle w:val="Compact"/>
      </w:pPr>
      <w:r>
        <w:t xml:space="preserve">Any disputes arising from this Purchase Order shall be resolved through mediation in Nairobi, Kenya, in accordance with the Arbitration Act, 1995 of Kenya.</w:t>
      </w:r>
    </w:p>
    <w:bookmarkEnd w:id="23"/>
    <w:p>
      <w:pPr>
        <w:pStyle w:val="FirstParagraph"/>
      </w:pPr>
      <w:r>
        <w:rPr>
          <w:bCs/>
          <w:b/>
        </w:rPr>
        <w:t xml:space="preserve">Authorized by (Buyer):</w:t>
      </w:r>
    </w:p>
    <w:p>
      <w:pPr>
        <w:pStyle w:val="BodyText"/>
      </w:pPr>
      <w:r>
        <w:t xml:space="preserve">Ms. Grace Wanjiku Muthoni</w:t>
      </w:r>
      <w:r>
        <w:br/>
      </w:r>
      <w:r>
        <w:t xml:space="preserve">Teacher Secondary – Mathematics &amp; Physics</w:t>
      </w:r>
      <w:r>
        <w:br/>
      </w:r>
      <w:r>
        <w:t xml:space="preserve">Nairobi Secondary School, Kenya Nairobi</w:t>
      </w:r>
      <w:r>
        <w:br/>
      </w:r>
      <w:r>
        <w:t xml:space="preserve">Date: _______________</w:t>
      </w:r>
    </w:p>
    <w:p>
      <w:pPr>
        <w:pStyle w:val="BodyText"/>
      </w:pPr>
      <w:r>
        <w:rPr>
          <w:bCs/>
          <w:b/>
        </w:rPr>
        <w:t xml:space="preserve">Accepted by (Seller):</w:t>
      </w:r>
    </w:p>
    <w:p>
      <w:pPr>
        <w:pStyle w:val="BodyText"/>
      </w:pPr>
      <w:r>
        <w:t xml:space="preserve">Mr. David Ochieng' Kariuki</w:t>
      </w:r>
      <w:r>
        <w:br/>
      </w:r>
      <w:r>
        <w:t xml:space="preserve">Procurement Manager, East African Educational Supplies Ltd.</w:t>
      </w:r>
      <w:r>
        <w:br/>
      </w:r>
      <w:r>
        <w:t xml:space="preserve">Nairobi, Kenya</w:t>
      </w:r>
      <w:r>
        <w:br/>
      </w:r>
      <w:r>
        <w:t xml:space="preserve">Date: _______________</w:t>
      </w:r>
    </w:p>
    <w:p>
      <w:pPr>
        <w:pStyle w:val="BodyText"/>
      </w:pPr>
      <w:r>
        <w:t xml:space="preserve">This Purchase Order document was generated for the Teacher Secondary procurement programme in Kenya Nairobi. Document Reference: PO-KEN-NBO-2025-04782. For queries, contact the Nairobi Secondary School Procurement Office, Karen, Kenya Nairobi. © 2025 Nairobi Secondary School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Secondary - Kenya Nairobi</dc:title>
  <dc:creator/>
  <dc:language>en</dc:language>
  <cp:keywords/>
  <dcterms:created xsi:type="dcterms:W3CDTF">2026-10-10T05:12:13Z</dcterms:created>
  <dcterms:modified xsi:type="dcterms:W3CDTF">2026-10-10T05:12:13Z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