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Kuwait</w:t>
      </w:r>
      <w:r>
        <w:t xml:space="preserve"> </w:t>
      </w:r>
      <w:r>
        <w:t xml:space="preserve">Kuwait</w:t>
      </w:r>
      <w:r>
        <w:t xml:space="preserve"> </w:t>
      </w:r>
      <w:r>
        <w:t xml:space="preserve">City</w:t>
      </w:r>
    </w:p>
    <w:bookmarkStart w:id="20" w:name="purchase-order"/>
    <w:p>
      <w:pPr>
        <w:pStyle w:val="Heading1"/>
      </w:pPr>
      <w:r>
        <w:t xml:space="preserve">PURCHASE ORDER</w:t>
      </w:r>
    </w:p>
    <w:p>
      <w:pPr>
        <w:pStyle w:val="FirstParagraph"/>
      </w:pPr>
      <w:r>
        <w:t xml:space="preserve">Teacher Secondary Procurement — Kuwait, Kuwait City</w:t>
      </w:r>
    </w:p>
    <w:p>
      <w:pPr>
        <w:pStyle w:val="BodyText"/>
      </w:pPr>
      <w:r>
        <w:t xml:space="preserve">Document Reference: PO-KWT-2025-TC-0472</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PO-KWT-2025-TC-0472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By Date</w:t>
            </w:r>
          </w:p>
        </w:tc>
        <w:tc>
          <w:tcPr/>
          <w:p>
            <w:pPr>
              <w:pStyle w:val="Compact"/>
              <w:jc w:val="left"/>
            </w:pPr>
            <w:r>
              <w:t xml:space="preserve">01 September 2025</w:t>
            </w:r>
          </w:p>
        </w:tc>
        <w:tc>
          <w:tcPr/>
          <w:p>
            <w:pPr>
              <w:pStyle w:val="Compact"/>
              <w:jc w:val="left"/>
            </w:pPr>
            <w:r>
              <w:t xml:space="preserve">Currency</w:t>
            </w:r>
          </w:p>
        </w:tc>
        <w:tc>
          <w:tcPr/>
          <w:p>
            <w:pPr>
              <w:pStyle w:val="Compact"/>
              <w:jc w:val="left"/>
            </w:pPr>
            <w:r>
              <w:t xml:space="preserve">Kuwaiti Dinar (KWD)</w:t>
            </w:r>
          </w:p>
        </w:tc>
      </w:tr>
      <w:tr>
        <w:tc>
          <w:tcPr/>
          <w:p>
            <w:pPr>
              <w:pStyle w:val="Compact"/>
              <w:jc w:val="left"/>
            </w:pPr>
            <w:r>
              <w:t xml:space="preserve">Purchasing Entity</w:t>
            </w:r>
          </w:p>
        </w:tc>
        <w:tc>
          <w:tcPr/>
          <w:p>
            <w:pPr>
              <w:pStyle w:val="Compact"/>
              <w:jc w:val="left"/>
            </w:pPr>
            <w:r>
              <w:t xml:space="preserve">Ministry of Education, Republic of Kuwait — Kuwait City</w:t>
            </w:r>
          </w:p>
        </w:tc>
        <w:tc>
          <w:tcPr/>
          <w:p>
            <w:pPr>
              <w:pStyle w:val="Compact"/>
              <w:jc w:val="left"/>
            </w:pPr>
            <w:r>
              <w:t xml:space="preserve">Department</w:t>
            </w:r>
          </w:p>
        </w:tc>
        <w:tc>
          <w:tcPr/>
          <w:p>
            <w:pPr>
              <w:pStyle w:val="Compact"/>
              <w:jc w:val="left"/>
            </w:pPr>
            <w:r>
              <w:t xml:space="preserve">Secondary Education Division, Kuwait City</w:t>
            </w:r>
          </w:p>
        </w:tc>
      </w:tr>
      <w:tr>
        <w:tc>
          <w:tcPr/>
          <w:p>
            <w:pPr>
              <w:pStyle w:val="Compact"/>
              <w:jc w:val="left"/>
            </w:pPr>
            <w:r>
              <w:t xml:space="preserve">Supplier / Vendor</w:t>
            </w:r>
          </w:p>
        </w:tc>
        <w:tc>
          <w:tcPr/>
          <w:p>
            <w:pPr>
              <w:pStyle w:val="Compact"/>
              <w:jc w:val="left"/>
            </w:pPr>
            <w:r>
              <w:t xml:space="preserve">Al-Nahda Educational Services Co. W.L.L.</w:t>
            </w:r>
          </w:p>
        </w:tc>
        <w:tc>
          <w:tcPr/>
          <w:p>
            <w:pPr>
              <w:pStyle w:val="Compact"/>
              <w:jc w:val="left"/>
            </w:pPr>
            <w:r>
              <w:t xml:space="preserve">Supplier Address</w:t>
            </w:r>
          </w:p>
        </w:tc>
        <w:tc>
          <w:tcPr/>
          <w:p>
            <w:pPr>
              <w:pStyle w:val="Compact"/>
              <w:jc w:val="left"/>
            </w:pPr>
            <w:r>
              <w:t xml:space="preserve">Block 4, Street 12, Salmiya, Kuwait City, Kuwait</w:t>
            </w:r>
          </w:p>
        </w:tc>
      </w:tr>
      <w:tr>
        <w:tc>
          <w:tcPr/>
          <w:p>
            <w:pPr>
              <w:pStyle w:val="Compact"/>
              <w:jc w:val="left"/>
            </w:pPr>
            <w:r>
              <w:t xml:space="preserve">Contact Person</w:t>
            </w:r>
          </w:p>
        </w:tc>
        <w:tc>
          <w:tcPr/>
          <w:p>
            <w:pPr>
              <w:pStyle w:val="Compact"/>
              <w:jc w:val="left"/>
            </w:pPr>
            <w:r>
              <w:t xml:space="preserve">Dr. Ahmad Al-Sabah, Director of Secondary Affairs</w:t>
            </w:r>
          </w:p>
        </w:tc>
        <w:tc>
          <w:tcPr/>
          <w:p>
            <w:pPr>
              <w:pStyle w:val="Compact"/>
              <w:jc w:val="left"/>
            </w:pPr>
            <w:r>
              <w:t xml:space="preserve">Contact Email</w:t>
            </w:r>
          </w:p>
        </w:tc>
        <w:tc>
          <w:tcPr/>
          <w:p>
            <w:pPr>
              <w:pStyle w:val="Compact"/>
              <w:jc w:val="left"/>
            </w:pPr>
            <w:r>
              <w:t xml:space="preserve">ahmad.alsabah@moekw.gov.kw</w:t>
            </w:r>
          </w:p>
        </w:tc>
      </w:tr>
      <w:tr>
        <w:tc>
          <w:tcPr/>
          <w:p>
            <w:pPr>
              <w:pStyle w:val="Compact"/>
              <w:jc w:val="left"/>
            </w:pPr>
            <w:r>
              <w:t xml:space="preserve">Delivery Location</w:t>
            </w:r>
          </w:p>
        </w:tc>
        <w:tc>
          <w:tcPr/>
          <w:p>
            <w:pPr>
              <w:pStyle w:val="Compact"/>
              <w:jc w:val="left"/>
            </w:pPr>
            <w:r>
              <w:t xml:space="preserve">Ministry of Education Headquarters, Al-Salimiyah, Kuwait City, Kuwait</w:t>
            </w:r>
          </w:p>
        </w:tc>
        <w:tc>
          <w:tcPr/>
          <w:p>
            <w:pPr>
              <w:pStyle w:val="Compact"/>
              <w:jc w:val="left"/>
            </w:pPr>
            <w:r>
              <w:t xml:space="preserve">Payment Terms</w:t>
            </w:r>
          </w:p>
        </w:tc>
        <w:tc>
          <w:tcPr/>
          <w:p>
            <w:pPr>
              <w:pStyle w:val="Compact"/>
              <w:jc w:val="left"/>
            </w:pPr>
            <w:r>
              <w:t xml:space="preserve">Net 45 days from invoice acceptance</w:t>
            </w:r>
          </w:p>
        </w:tc>
      </w:tr>
    </w:tbl>
    <w:p>
      <w:pPr>
        <w:pStyle w:val="BodyText"/>
      </w:pPr>
      <w:r>
        <w:t xml:space="preserve">PURCHASE ORDER DESCRIPTION — TEACHER SECONDARY PROCUREMENT</w:t>
      </w:r>
    </w:p>
    <w:p>
      <w:pPr>
        <w:pStyle w:val="BodyText"/>
      </w:pPr>
      <w:r>
        <w:t xml:space="preserve">This</w:t>
      </w:r>
      <w:r>
        <w:t xml:space="preserve"> </w:t>
      </w:r>
      <w:r>
        <w:t xml:space="preserve">Purchase Order</w:t>
      </w:r>
      <w:r>
        <w:t xml:space="preserve"> </w:t>
      </w:r>
      <w:r>
        <w:t xml:space="preserve">is issued by the Ministry of Education of the Republic of Kuwait, headquartered in</w:t>
      </w:r>
      <w:r>
        <w:t xml:space="preserve"> </w:t>
      </w:r>
      <w:r>
        <w:t xml:space="preserve">Kuwait City</w:t>
      </w:r>
      <w:r>
        <w:t xml:space="preserve">, for the procurement of qualified</w:t>
      </w:r>
      <w:r>
        <w:t xml:space="preserve"> </w:t>
      </w:r>
      <w:r>
        <w:t xml:space="preserve">Teacher Secondary</w:t>
      </w:r>
      <w:r>
        <w:t xml:space="preserve"> </w:t>
      </w:r>
      <w:r>
        <w:t xml:space="preserve">personnel and associated educational resources for the 2025/2026 academic year. This</w:t>
      </w:r>
      <w:r>
        <w:t xml:space="preserve"> </w:t>
      </w:r>
      <w:r>
        <w:t xml:space="preserve">Purchase Order</w:t>
      </w:r>
      <w:r>
        <w:t xml:space="preserve"> </w:t>
      </w:r>
      <w:r>
        <w:t xml:space="preserve">governs the recruitment, onboarding, and deployment of</w:t>
      </w:r>
      <w:r>
        <w:t xml:space="preserve"> </w:t>
      </w:r>
      <w:r>
        <w:t xml:space="preserve">Teacher Secondary</w:t>
      </w:r>
      <w:r>
        <w:t xml:space="preserve"> </w:t>
      </w:r>
      <w:r>
        <w:t xml:space="preserve">professionals across all public secondary schools located within the</w:t>
      </w:r>
      <w:r>
        <w:t xml:space="preserve"> </w:t>
      </w:r>
      <w:r>
        <w:t xml:space="preserve">Kuwait City</w:t>
      </w:r>
      <w:r>
        <w:t xml:space="preserve"> </w:t>
      </w:r>
      <w:r>
        <w:t xml:space="preserve">metropolitan area and its surrounding districts. The scope of this</w:t>
      </w:r>
      <w:r>
        <w:t xml:space="preserve"> </w:t>
      </w:r>
      <w:r>
        <w:t xml:space="preserve">Purchase Order</w:t>
      </w:r>
      <w:r>
        <w:t xml:space="preserve"> </w:t>
      </w:r>
      <w:r>
        <w:t xml:space="preserve">encompasses the full lifecycle of</w:t>
      </w:r>
      <w:r>
        <w:t xml:space="preserve"> </w:t>
      </w:r>
      <w:r>
        <w:t xml:space="preserve">Teacher Secondary</w:t>
      </w:r>
      <w:r>
        <w:t xml:space="preserve"> </w:t>
      </w:r>
      <w:r>
        <w:t xml:space="preserve">engagement, including initial recruitment, contractual employment, professional development, and ongoing performance evaluation in accordance with Kuwaiti educational regulations and the standards set forth by the Kuwait City education authority.</w:t>
      </w:r>
    </w:p>
    <w:p>
      <w:pPr>
        <w:pStyle w:val="BodyText"/>
      </w:pPr>
      <w:r>
        <w:t xml:space="preserve">LINE ITEMS — TEACHER SECONDARY SERVICES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Item / Service Description</w:t>
            </w:r>
          </w:p>
        </w:tc>
        <w:tc>
          <w:tcPr/>
          <w:p>
            <w:pPr>
              <w:pStyle w:val="Compact"/>
              <w:jc w:val="left"/>
            </w:pPr>
            <w:r>
              <w:t xml:space="preserve">Quantity</w:t>
            </w:r>
          </w:p>
        </w:tc>
        <w:tc>
          <w:tcPr/>
          <w:p>
            <w:pPr>
              <w:pStyle w:val="Compact"/>
              <w:jc w:val="left"/>
            </w:pPr>
            <w:r>
              <w:t xml:space="preserve">Unit (KWD)</w:t>
            </w:r>
          </w:p>
        </w:tc>
        <w:tc>
          <w:tcPr/>
          <w:p>
            <w:pPr>
              <w:pStyle w:val="Compact"/>
              <w:jc w:val="left"/>
            </w:pPr>
            <w:r>
              <w:t xml:space="preserve">Total (KWD)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Teacher Secondary — Mathematics (Arabic &amp; English medium), Grade 10–12, Kuwait City public secondary schools</w:t>
            </w:r>
          </w:p>
        </w:tc>
        <w:tc>
          <w:tcPr/>
          <w:p>
            <w:pPr>
              <w:pStyle w:val="Compact"/>
              <w:jc w:val="left"/>
            </w:pPr>
            <w:r>
              <w:t xml:space="preserve">24 positions</w:t>
            </w:r>
          </w:p>
        </w:tc>
        <w:tc>
          <w:tcPr/>
          <w:p>
            <w:pPr>
              <w:pStyle w:val="Compact"/>
              <w:jc w:val="left"/>
            </w:pPr>
            <w:r>
              <w:t xml:space="preserve">1,850.00</w:t>
            </w:r>
          </w:p>
        </w:tc>
        <w:tc>
          <w:tcPr/>
          <w:p>
            <w:pPr>
              <w:pStyle w:val="Compact"/>
              <w:jc w:val="left"/>
            </w:pPr>
            <w:r>
              <w:t xml:space="preserve">44,400.00</w:t>
            </w:r>
          </w:p>
        </w:tc>
        <w:tc>
          <w:tcPr/>
          <w:p>
            <w:pPr>
              <w:pStyle w:val="Compact"/>
              <w:jc w:val="left"/>
            </w:pPr>
            <w:r>
              <w:t xml:space="preserve">Monthly salary per Teacher Secondary; includes Kuwait City housing allowance</w:t>
            </w:r>
          </w:p>
        </w:tc>
      </w:tr>
      <w:tr>
        <w:tc>
          <w:tcPr/>
          <w:p>
            <w:pPr>
              <w:pStyle w:val="Compact"/>
              <w:jc w:val="left"/>
            </w:pPr>
            <w:r>
              <w:t xml:space="preserve">2</w:t>
            </w:r>
          </w:p>
        </w:tc>
        <w:tc>
          <w:tcPr/>
          <w:p>
            <w:pPr>
              <w:pStyle w:val="Compact"/>
              <w:jc w:val="left"/>
            </w:pPr>
            <w:r>
              <w:t xml:space="preserve">Teacher Secondary — Physics &amp; Chemistry, Grade 10–12, Kuwait City secondary campuses</w:t>
            </w:r>
          </w:p>
        </w:tc>
        <w:tc>
          <w:tcPr/>
          <w:p>
            <w:pPr>
              <w:pStyle w:val="Compact"/>
              <w:jc w:val="left"/>
            </w:pPr>
            <w:r>
              <w:t xml:space="preserve">18 positions</w:t>
            </w:r>
          </w:p>
        </w:tc>
        <w:tc>
          <w:tcPr/>
          <w:p>
            <w:pPr>
              <w:pStyle w:val="Compact"/>
              <w:jc w:val="left"/>
            </w:pPr>
            <w:r>
              <w:t xml:space="preserve">1,850.00</w:t>
            </w:r>
          </w:p>
        </w:tc>
        <w:tc>
          <w:tcPr/>
          <w:p>
            <w:pPr>
              <w:pStyle w:val="Compact"/>
              <w:jc w:val="left"/>
            </w:pPr>
            <w:r>
              <w:t xml:space="preserve">33,300.00</w:t>
            </w:r>
          </w:p>
        </w:tc>
        <w:tc>
          <w:tcPr/>
          <w:p>
            <w:pPr>
              <w:pStyle w:val="Compact"/>
              <w:jc w:val="left"/>
            </w:pPr>
            <w:r>
              <w:t xml:space="preserve">Monthly salary per Teacher Secondary; bilingual instruction required</w:t>
            </w:r>
          </w:p>
        </w:tc>
      </w:tr>
      <w:tr>
        <w:tc>
          <w:tcPr/>
          <w:p>
            <w:pPr>
              <w:pStyle w:val="Compact"/>
              <w:jc w:val="left"/>
            </w:pPr>
            <w:r>
              <w:t xml:space="preserve">3</w:t>
            </w:r>
          </w:p>
        </w:tc>
        <w:tc>
          <w:tcPr/>
          <w:p>
            <w:pPr>
              <w:pStyle w:val="Compact"/>
              <w:jc w:val="left"/>
            </w:pPr>
            <w:r>
              <w:t xml:space="preserve">Teacher Secondary — Biology &amp; Earth Sciences, Grade 10–12, Kuwait City</w:t>
            </w:r>
          </w:p>
        </w:tc>
        <w:tc>
          <w:tcPr/>
          <w:p>
            <w:pPr>
              <w:pStyle w:val="Compact"/>
              <w:jc w:val="left"/>
            </w:pPr>
            <w:r>
              <w:t xml:space="preserve">12 positions</w:t>
            </w:r>
          </w:p>
        </w:tc>
        <w:tc>
          <w:tcPr/>
          <w:p>
            <w:pPr>
              <w:pStyle w:val="Compact"/>
              <w:jc w:val="left"/>
            </w:pPr>
            <w:r>
              <w:t xml:space="preserve">1,850.00</w:t>
            </w:r>
          </w:p>
        </w:tc>
        <w:tc>
          <w:tcPr/>
          <w:p>
            <w:pPr>
              <w:pStyle w:val="Compact"/>
              <w:jc w:val="left"/>
            </w:pPr>
            <w:r>
              <w:t xml:space="preserve">22,200.00</w:t>
            </w:r>
          </w:p>
        </w:tc>
        <w:tc>
          <w:tcPr/>
          <w:p>
            <w:pPr>
              <w:pStyle w:val="Compact"/>
              <w:jc w:val="left"/>
            </w:pPr>
            <w:r>
              <w:t xml:space="preserve">Monthly salary per Teacher Secondary; lab supervision duties included</w:t>
            </w:r>
          </w:p>
        </w:tc>
      </w:tr>
      <w:tr>
        <w:tc>
          <w:tcPr/>
          <w:p>
            <w:pPr>
              <w:pStyle w:val="Compact"/>
              <w:jc w:val="left"/>
            </w:pPr>
            <w:r>
              <w:t xml:space="preserve">4</w:t>
            </w:r>
          </w:p>
        </w:tc>
        <w:tc>
          <w:tcPr/>
          <w:p>
            <w:pPr>
              <w:pStyle w:val="Compact"/>
              <w:jc w:val="left"/>
            </w:pPr>
            <w:r>
              <w:t xml:space="preserve">Teacher Secondary — Arabic Language &amp; Literature, Grade 10–12, Kuwait City</w:t>
            </w:r>
          </w:p>
        </w:tc>
        <w:tc>
          <w:tcPr/>
          <w:p>
            <w:pPr>
              <w:pStyle w:val="Compact"/>
              <w:jc w:val="left"/>
            </w:pPr>
            <w:r>
              <w:t xml:space="preserve">20 positions</w:t>
            </w:r>
          </w:p>
        </w:tc>
        <w:tc>
          <w:tcPr/>
          <w:p>
            <w:pPr>
              <w:pStyle w:val="Compact"/>
              <w:jc w:val="left"/>
            </w:pPr>
            <w:r>
              <w:t xml:space="preserve">1,750.00</w:t>
            </w:r>
          </w:p>
        </w:tc>
        <w:tc>
          <w:tcPr/>
          <w:p>
            <w:pPr>
              <w:pStyle w:val="Compact"/>
              <w:jc w:val="left"/>
            </w:pPr>
            <w:r>
              <w:t xml:space="preserve">35,000.00</w:t>
            </w:r>
          </w:p>
        </w:tc>
        <w:tc>
          <w:tcPr/>
          <w:p>
            <w:pPr>
              <w:pStyle w:val="Compact"/>
              <w:jc w:val="left"/>
            </w:pPr>
            <w:r>
              <w:t xml:space="preserve">Monthly salary per Teacher Secondary; Kuwaiti nationals preferred</w:t>
            </w:r>
          </w:p>
        </w:tc>
      </w:tr>
      <w:tr>
        <w:tc>
          <w:tcPr/>
          <w:p>
            <w:pPr>
              <w:pStyle w:val="Compact"/>
              <w:jc w:val="left"/>
            </w:pPr>
            <w:r>
              <w:t xml:space="preserve">5</w:t>
            </w:r>
          </w:p>
        </w:tc>
        <w:tc>
          <w:tcPr/>
          <w:p>
            <w:pPr>
              <w:pStyle w:val="Compact"/>
              <w:jc w:val="left"/>
            </w:pPr>
            <w:r>
              <w:t xml:space="preserve">Teacher Secondary — Social Studies &amp; History, Grade 10–12, Kuwait City</w:t>
            </w:r>
          </w:p>
        </w:tc>
        <w:tc>
          <w:tcPr/>
          <w:p>
            <w:pPr>
              <w:pStyle w:val="Compact"/>
              <w:jc w:val="left"/>
            </w:pPr>
            <w:r>
              <w:t xml:space="preserve">15 positions</w:t>
            </w:r>
          </w:p>
        </w:tc>
        <w:tc>
          <w:tcPr/>
          <w:p>
            <w:pPr>
              <w:pStyle w:val="Compact"/>
              <w:jc w:val="left"/>
            </w:pPr>
            <w:r>
              <w:t xml:space="preserve">1,750.00</w:t>
            </w:r>
          </w:p>
        </w:tc>
        <w:tc>
          <w:tcPr/>
          <w:p>
            <w:pPr>
              <w:pStyle w:val="Compact"/>
              <w:jc w:val="left"/>
            </w:pPr>
            <w:r>
              <w:t xml:space="preserve">26,250.00</w:t>
            </w:r>
          </w:p>
        </w:tc>
        <w:tc>
          <w:tcPr/>
          <w:p>
            <w:pPr>
              <w:pStyle w:val="Compact"/>
              <w:jc w:val="left"/>
            </w:pPr>
            <w:r>
              <w:t xml:space="preserve">Monthly salary per Teacher Secondary; curriculum alignment with Kuwait City MOE standards</w:t>
            </w:r>
          </w:p>
        </w:tc>
      </w:tr>
      <w:tr>
        <w:tc>
          <w:tcPr/>
          <w:p>
            <w:pPr>
              <w:pStyle w:val="Compact"/>
              <w:jc w:val="left"/>
            </w:pPr>
            <w:r>
              <w:t xml:space="preserve">6</w:t>
            </w:r>
          </w:p>
        </w:tc>
        <w:tc>
          <w:tcPr/>
          <w:p>
            <w:pPr>
              <w:pStyle w:val="Compact"/>
              <w:jc w:val="left"/>
            </w:pPr>
            <w:r>
              <w:t xml:space="preserve">Teacher Secondary — English Language, Grade 10–12, Kuwait City</w:t>
            </w:r>
          </w:p>
        </w:tc>
        <w:tc>
          <w:tcPr/>
          <w:p>
            <w:pPr>
              <w:pStyle w:val="Compact"/>
              <w:jc w:val="left"/>
            </w:pPr>
            <w:r>
              <w:t xml:space="preserve">22 positions</w:t>
            </w:r>
          </w:p>
        </w:tc>
        <w:tc>
          <w:tcPr/>
          <w:p>
            <w:pPr>
              <w:pStyle w:val="Compact"/>
              <w:jc w:val="left"/>
            </w:pPr>
            <w:r>
              <w:t xml:space="preserve">1,900.00</w:t>
            </w:r>
          </w:p>
        </w:tc>
        <w:tc>
          <w:tcPr/>
          <w:p>
            <w:pPr>
              <w:pStyle w:val="Compact"/>
              <w:jc w:val="left"/>
            </w:pPr>
            <w:r>
              <w:t xml:space="preserve">41,800.00</w:t>
            </w:r>
          </w:p>
        </w:tc>
        <w:tc>
          <w:tcPr/>
          <w:p>
            <w:pPr>
              <w:pStyle w:val="Compact"/>
              <w:jc w:val="left"/>
            </w:pPr>
            <w:r>
              <w:t xml:space="preserve">Monthly salary per Teacher Secondary; CELTA/DELTA certification required</w:t>
            </w:r>
          </w:p>
        </w:tc>
      </w:tr>
      <w:tr>
        <w:tc>
          <w:tcPr/>
          <w:p>
            <w:pPr>
              <w:pStyle w:val="Compact"/>
              <w:jc w:val="left"/>
            </w:pPr>
            <w:r>
              <w:t xml:space="preserve">7</w:t>
            </w:r>
          </w:p>
        </w:tc>
        <w:tc>
          <w:tcPr/>
          <w:p>
            <w:pPr>
              <w:pStyle w:val="Compact"/>
              <w:jc w:val="left"/>
            </w:pPr>
            <w:r>
              <w:t xml:space="preserve">Teacher Secondary — Computer Science &amp; ICT, Grade 10–12, Kuwait City</w:t>
            </w:r>
          </w:p>
        </w:tc>
        <w:tc>
          <w:tcPr/>
          <w:p>
            <w:pPr>
              <w:pStyle w:val="Compact"/>
              <w:jc w:val="left"/>
            </w:pPr>
            <w:r>
              <w:t xml:space="preserve">10 positions</w:t>
            </w:r>
          </w:p>
        </w:tc>
        <w:tc>
          <w:tcPr/>
          <w:p>
            <w:pPr>
              <w:pStyle w:val="Compact"/>
              <w:jc w:val="left"/>
            </w:pPr>
            <w:r>
              <w:t xml:space="preserve">2,000.00</w:t>
            </w:r>
          </w:p>
        </w:tc>
        <w:tc>
          <w:tcPr/>
          <w:p>
            <w:pPr>
              <w:pStyle w:val="Compact"/>
              <w:jc w:val="left"/>
            </w:pPr>
            <w:r>
              <w:t xml:space="preserve">20,000.00</w:t>
            </w:r>
          </w:p>
        </w:tc>
        <w:tc>
          <w:tcPr/>
          <w:p>
            <w:pPr>
              <w:pStyle w:val="Compact"/>
              <w:jc w:val="left"/>
            </w:pPr>
            <w:r>
              <w:t xml:space="preserve">Monthly salary per Teacher Secondary; updated curriculum for 2025/2026</w:t>
            </w:r>
          </w:p>
        </w:tc>
      </w:tr>
      <w:tr>
        <w:tc>
          <w:tcPr/>
          <w:p>
            <w:pPr>
              <w:pStyle w:val="Compact"/>
              <w:jc w:val="left"/>
            </w:pPr>
            <w:r>
              <w:t xml:space="preserve">8</w:t>
            </w:r>
          </w:p>
        </w:tc>
        <w:tc>
          <w:tcPr/>
          <w:p>
            <w:pPr>
              <w:pStyle w:val="Compact"/>
              <w:jc w:val="left"/>
            </w:pPr>
            <w:r>
              <w:t xml:space="preserve">Teacher Secondary — Physical Education &amp; Health, Grade 10–12, Kuwait City</w:t>
            </w:r>
          </w:p>
        </w:tc>
        <w:tc>
          <w:tcPr/>
          <w:p>
            <w:pPr>
              <w:pStyle w:val="Compact"/>
              <w:jc w:val="left"/>
            </w:pPr>
            <w:r>
              <w:t xml:space="preserve">14 positions</w:t>
            </w:r>
          </w:p>
        </w:tc>
        <w:tc>
          <w:tcPr/>
          <w:p>
            <w:pPr>
              <w:pStyle w:val="Compact"/>
              <w:jc w:val="left"/>
            </w:pPr>
            <w:r>
              <w:t xml:space="preserve">1,700.00</w:t>
            </w:r>
          </w:p>
        </w:tc>
        <w:tc>
          <w:tcPr/>
          <w:p>
            <w:pPr>
              <w:pStyle w:val="Compact"/>
              <w:jc w:val="left"/>
            </w:pPr>
            <w:r>
              <w:t xml:space="preserve">23,800.00</w:t>
            </w:r>
          </w:p>
        </w:tc>
        <w:tc>
          <w:tcPr/>
          <w:p>
            <w:pPr>
              <w:pStyle w:val="Compact"/>
              <w:jc w:val="left"/>
            </w:pPr>
            <w:r>
              <w:t xml:space="preserve">Monthly salary per Teacher Secondary; sports facility access in Kuwait City</w:t>
            </w:r>
          </w:p>
        </w:tc>
      </w:tr>
      <w:tr>
        <w:tc>
          <w:tcPr/>
          <w:p>
            <w:pPr>
              <w:pStyle w:val="Compact"/>
              <w:jc w:val="left"/>
            </w:pPr>
            <w:r>
              <w:t xml:space="preserve">9</w:t>
            </w:r>
          </w:p>
        </w:tc>
        <w:tc>
          <w:tcPr/>
          <w:p>
            <w:pPr>
              <w:pStyle w:val="Compact"/>
              <w:jc w:val="left"/>
            </w:pPr>
            <w:r>
              <w:t xml:space="preserve">Teacher Secondary Professional Development Program (annual), Kuwait City training center</w:t>
            </w:r>
          </w:p>
        </w:tc>
        <w:tc>
          <w:tcPr/>
          <w:p>
            <w:pPr>
              <w:pStyle w:val="Compact"/>
              <w:jc w:val="left"/>
            </w:pPr>
            <w:r>
              <w:t xml:space="preserve">155 participants</w:t>
            </w:r>
          </w:p>
        </w:tc>
        <w:tc>
          <w:tcPr/>
          <w:p>
            <w:pPr>
              <w:pStyle w:val="Compact"/>
              <w:jc w:val="left"/>
            </w:pPr>
            <w:r>
              <w:t xml:space="preserve">320.00</w:t>
            </w:r>
          </w:p>
        </w:tc>
        <w:tc>
          <w:tcPr/>
          <w:p>
            <w:pPr>
              <w:pStyle w:val="Compact"/>
              <w:jc w:val="left"/>
            </w:pPr>
            <w:r>
              <w:t xml:space="preserve">49,600.00</w:t>
            </w:r>
          </w:p>
        </w:tc>
        <w:tc>
          <w:tcPr/>
          <w:p>
            <w:pPr>
              <w:pStyle w:val="Compact"/>
              <w:jc w:val="left"/>
            </w:pPr>
            <w:r>
              <w:t xml:space="preserve">Per Teacher Secondary; includes workshops, certifications, and mentoring</w:t>
            </w:r>
          </w:p>
        </w:tc>
      </w:tr>
      <w:tr>
        <w:tc>
          <w:tcPr/>
          <w:p>
            <w:pPr>
              <w:pStyle w:val="Compact"/>
              <w:jc w:val="left"/>
            </w:pPr>
            <w:r>
              <w:t xml:space="preserve">10</w:t>
            </w:r>
          </w:p>
        </w:tc>
        <w:tc>
          <w:tcPr/>
          <w:p>
            <w:pPr>
              <w:pStyle w:val="Compact"/>
              <w:jc w:val="left"/>
            </w:pPr>
            <w:r>
              <w:t xml:space="preserve">Teacher Secondary Onboarding &amp; Orientation Package (Kuwait City specific)</w:t>
            </w:r>
          </w:p>
        </w:tc>
        <w:tc>
          <w:tcPr/>
          <w:p>
            <w:pPr>
              <w:pStyle w:val="Compact"/>
              <w:jc w:val="left"/>
            </w:pPr>
            <w:r>
              <w:t xml:space="preserve">155 packages</w:t>
            </w:r>
          </w:p>
        </w:tc>
        <w:tc>
          <w:tcPr/>
          <w:p>
            <w:pPr>
              <w:pStyle w:val="Compact"/>
              <w:jc w:val="left"/>
            </w:pPr>
            <w:r>
              <w:t xml:space="preserve">180.00</w:t>
            </w:r>
          </w:p>
        </w:tc>
        <w:tc>
          <w:tcPr/>
          <w:p>
            <w:pPr>
              <w:pStyle w:val="Compact"/>
              <w:jc w:val="left"/>
            </w:pPr>
            <w:r>
              <w:t xml:space="preserve">27,900.00</w:t>
            </w:r>
          </w:p>
        </w:tc>
        <w:tc>
          <w:tcPr/>
          <w:p>
            <w:pPr>
              <w:pStyle w:val="Compact"/>
              <w:jc w:val="left"/>
            </w:pPr>
            <w:r>
              <w:t xml:space="preserve">Per Teacher Secondary; visa processing, housing setup, Kuwait City orientation</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(Monthly Salaries — Teacher Secondary)</w:t>
            </w:r>
          </w:p>
        </w:tc>
        <w:tc>
          <w:tcPr/>
          <w:p>
            <w:pPr>
              <w:pStyle w:val="Compact"/>
              <w:jc w:val="right"/>
            </w:pPr>
            <w:r>
              <w:t xml:space="preserve">246,750.00 KWD</w:t>
            </w:r>
          </w:p>
        </w:tc>
      </w:tr>
      <w:tr>
        <w:tc>
          <w:tcPr/>
          <w:p>
            <w:pPr>
              <w:pStyle w:val="Compact"/>
              <w:jc w:val="left"/>
            </w:pPr>
            <w:r>
              <w:t xml:space="preserve">Professional Development &amp; Training</w:t>
            </w:r>
          </w:p>
        </w:tc>
        <w:tc>
          <w:tcPr/>
          <w:p>
            <w:pPr>
              <w:pStyle w:val="Compact"/>
              <w:jc w:val="right"/>
            </w:pPr>
            <w:r>
              <w:t xml:space="preserve">49,600.00 KWD</w:t>
            </w:r>
          </w:p>
        </w:tc>
      </w:tr>
      <w:tr>
        <w:tc>
          <w:tcPr/>
          <w:p>
            <w:pPr>
              <w:pStyle w:val="Compact"/>
              <w:jc w:val="left"/>
            </w:pPr>
            <w:r>
              <w:t xml:space="preserve">Onboarding &amp; Orientation (Kuwait City)</w:t>
            </w:r>
          </w:p>
        </w:tc>
        <w:tc>
          <w:tcPr/>
          <w:p>
            <w:pPr>
              <w:pStyle w:val="Compact"/>
              <w:jc w:val="right"/>
            </w:pPr>
            <w:r>
              <w:t xml:space="preserve">27,900.00 KWD</w:t>
            </w:r>
          </w:p>
        </w:tc>
      </w:tr>
      <w:tr>
        <w:tc>
          <w:tcPr/>
          <w:p>
            <w:pPr>
              <w:pStyle w:val="Compact"/>
              <w:jc w:val="left"/>
            </w:pPr>
            <w:r>
              <w:t xml:space="preserve">VAT (5% — applicable services)</w:t>
            </w:r>
          </w:p>
        </w:tc>
        <w:tc>
          <w:tcPr/>
          <w:p>
            <w:pPr>
              <w:pStyle w:val="Compact"/>
              <w:jc w:val="right"/>
            </w:pPr>
            <w:r>
              <w:t xml:space="preserve">16,212.50 KWD</w:t>
            </w:r>
          </w:p>
        </w:tc>
      </w:tr>
      <w:tr>
        <w:tc>
          <w:tcPr/>
          <w:p>
            <w:pPr>
              <w:pStyle w:val="Compact"/>
              <w:jc w:val="left"/>
            </w:pPr>
            <w:r>
              <w:t xml:space="preserve">GRAND TOTAL (Annual — Purchase Order)</w:t>
            </w:r>
          </w:p>
        </w:tc>
        <w:tc>
          <w:tcPr/>
          <w:p>
            <w:pPr>
              <w:pStyle w:val="Compact"/>
              <w:jc w:val="right"/>
            </w:pPr>
            <w:r>
              <w:t xml:space="preserve">340,462.50 KWD</w:t>
            </w:r>
          </w:p>
        </w:tc>
      </w:tr>
    </w:tbl>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is valid for the 2025/2026 academic year and applies exclusively to</w:t>
      </w:r>
      <w:r>
        <w:t xml:space="preserve"> </w:t>
      </w:r>
      <w:r>
        <w:t xml:space="preserve">Teacher Secondary</w:t>
      </w:r>
      <w:r>
        <w:t xml:space="preserve"> </w:t>
      </w:r>
      <w:r>
        <w:t xml:space="preserve">positions within the jurisdiction of</w:t>
      </w:r>
      <w:r>
        <w:t xml:space="preserve"> </w:t>
      </w:r>
      <w:r>
        <w:t xml:space="preserve">Kuwait City</w:t>
      </w:r>
      <w:r>
        <w:t xml:space="preserve">, Kuwait. Any extension or modification must be issued as a formal amendment to this</w:t>
      </w:r>
      <w:r>
        <w:t xml:space="preserve"> </w:t>
      </w:r>
      <w:r>
        <w:t xml:space="preserve">Purchase Order</w:t>
      </w:r>
      <w:r>
        <w:t xml:space="preserve">.</w:t>
      </w:r>
    </w:p>
    <w:p>
      <w:pPr>
        <w:numPr>
          <w:ilvl w:val="0"/>
          <w:numId w:val="1001"/>
        </w:numPr>
        <w:pStyle w:val="Compact"/>
      </w:pPr>
      <w:r>
        <w:t xml:space="preserve">All</w:t>
      </w:r>
      <w:r>
        <w:t xml:space="preserve"> </w:t>
      </w:r>
      <w:r>
        <w:t xml:space="preserve">Teacher Secondary</w:t>
      </w:r>
      <w:r>
        <w:t xml:space="preserve"> </w:t>
      </w:r>
      <w:r>
        <w:t xml:space="preserve">candidates must hold a minimum of a Bachelor's degree in their respective subject area from an accredited institution recognized by the Kuwait City Ministry of Education. A Master's degree or higher is preferred for senior</w:t>
      </w:r>
      <w:r>
        <w:t xml:space="preserve"> </w:t>
      </w:r>
      <w:r>
        <w:t xml:space="preserve">Teacher Secondary</w:t>
      </w:r>
      <w:r>
        <w:t xml:space="preserve"> </w:t>
      </w:r>
      <w:r>
        <w:t xml:space="preserve">roles.</w:t>
      </w:r>
    </w:p>
    <w:p>
      <w:pPr>
        <w:numPr>
          <w:ilvl w:val="0"/>
          <w:numId w:val="1001"/>
        </w:numPr>
        <w:pStyle w:val="Compact"/>
      </w:pPr>
      <w:r>
        <w:t xml:space="preserve">The supplier, Al-Nahda Educational Services Co. W.L.L., is responsible for the complete recruitment, vetting, and deployment of all</w:t>
      </w:r>
      <w:r>
        <w:t xml:space="preserve"> </w:t>
      </w:r>
      <w:r>
        <w:t xml:space="preserve">Teacher Secondary</w:t>
      </w:r>
      <w:r>
        <w:t xml:space="preserve"> </w:t>
      </w:r>
      <w:r>
        <w:t xml:space="preserve">personnel listed in this</w:t>
      </w:r>
      <w:r>
        <w:t xml:space="preserve"> </w:t>
      </w:r>
      <w:r>
        <w:t xml:space="preserve">Purchase Order</w:t>
      </w:r>
      <w:r>
        <w:t xml:space="preserve">. All candidates must pass the Kuwait City educational authority's background check and professional competency assessment prior to assignment.</w:t>
      </w:r>
    </w:p>
    <w:p>
      <w:pPr>
        <w:numPr>
          <w:ilvl w:val="0"/>
          <w:numId w:val="1001"/>
        </w:numPr>
        <w:pStyle w:val="Compact"/>
      </w:pPr>
      <w:r>
        <w:t xml:space="preserve">Payment for this</w:t>
      </w:r>
      <w:r>
        <w:t xml:space="preserve"> </w:t>
      </w:r>
      <w:r>
        <w:t xml:space="preserve">Purchase Order</w:t>
      </w:r>
      <w:r>
        <w:t xml:space="preserve"> </w:t>
      </w:r>
      <w:r>
        <w:t xml:space="preserve">shall be made in Kuwaiti Dinars (KWD) via bank transfer to the supplier's designated account in Kuwait City. Invoices must reference this</w:t>
      </w:r>
      <w:r>
        <w:t xml:space="preserve"> </w:t>
      </w:r>
      <w:r>
        <w:t xml:space="preserve">Purchase Order</w:t>
      </w:r>
      <w:r>
        <w:t xml:space="preserve"> </w:t>
      </w:r>
      <w:r>
        <w:t xml:space="preserve">number (PO-KWT-2025-TC-0472) and itemize each</w:t>
      </w:r>
      <w:r>
        <w:t xml:space="preserve"> </w:t>
      </w:r>
      <w:r>
        <w:t xml:space="preserve">Teacher Secondary</w:t>
      </w:r>
      <w:r>
        <w:t xml:space="preserve"> </w:t>
      </w:r>
      <w:r>
        <w:t xml:space="preserve">position and associated service.</w:t>
      </w:r>
    </w:p>
    <w:p>
      <w:pPr>
        <w:numPr>
          <w:ilvl w:val="0"/>
          <w:numId w:val="1001"/>
        </w:numPr>
        <w:pStyle w:val="Compact"/>
      </w:pPr>
      <w:r>
        <w:t xml:space="preserve">Each</w:t>
      </w:r>
      <w:r>
        <w:t xml:space="preserve"> </w:t>
      </w:r>
      <w:r>
        <w:t xml:space="preserve">Teacher Secondary</w:t>
      </w:r>
      <w:r>
        <w:t xml:space="preserve"> </w:t>
      </w:r>
      <w:r>
        <w:t xml:space="preserve">engaged under this</w:t>
      </w:r>
      <w:r>
        <w:t xml:space="preserve"> </w:t>
      </w:r>
      <w:r>
        <w:t xml:space="preserve">Purchase Order</w:t>
      </w:r>
      <w:r>
        <w:t xml:space="preserve"> </w:t>
      </w:r>
      <w:r>
        <w:t xml:space="preserve">shall be subject to the labor laws of the State of Kuwait and the specific employment regulations governing secondary education in Kuwait City. Working hours, leave entitlements, and termination procedures shall comply with Kuwaiti federal and municipal labor codes.</w:t>
      </w:r>
    </w:p>
    <w:p>
      <w:pPr>
        <w:numPr>
          <w:ilvl w:val="0"/>
          <w:numId w:val="1001"/>
        </w:numPr>
        <w:pStyle w:val="Compact"/>
      </w:pPr>
      <w:r>
        <w:t xml:space="preserve">The supplier shall provide a monthly progress report to the Kuwait City Secondary Education Division detailing the status of each</w:t>
      </w:r>
      <w:r>
        <w:t xml:space="preserve"> </w:t>
      </w:r>
      <w:r>
        <w:t xml:space="preserve">Teacher Secondary</w:t>
      </w:r>
      <w:r>
        <w:t xml:space="preserve"> </w:t>
      </w:r>
      <w:r>
        <w:t xml:space="preserve">position, including onboarding completion, classroom assignment, and any performance concerns. Failure to submit reports may result in suspension of this</w:t>
      </w:r>
      <w:r>
        <w:t xml:space="preserve"> </w:t>
      </w:r>
      <w:r>
        <w:t xml:space="preserve">Purchase Order</w:t>
      </w:r>
      <w:r>
        <w:t xml:space="preserve">.</w:t>
      </w:r>
    </w:p>
    <w:p>
      <w:pPr>
        <w:numPr>
          <w:ilvl w:val="0"/>
          <w:numId w:val="1001"/>
        </w:numPr>
        <w:pStyle w:val="Compact"/>
      </w:pPr>
      <w:r>
        <w:t xml:space="preserve">All</w:t>
      </w:r>
      <w:r>
        <w:t xml:space="preserve"> </w:t>
      </w:r>
      <w:r>
        <w:t xml:space="preserve">Teacher Secondary</w:t>
      </w:r>
      <w:r>
        <w:t xml:space="preserve"> </w:t>
      </w:r>
      <w:r>
        <w:t xml:space="preserve">personnel must complete the mandatory Kuwait City orientation program, which includes Kuwaiti cultural and educational system familiarization, within the first two weeks of their assignment. This is a condition of this</w:t>
      </w:r>
      <w:r>
        <w:t xml:space="preserve"> </w:t>
      </w:r>
      <w:r>
        <w:t xml:space="preserve">Purchase Order</w:t>
      </w:r>
      <w:r>
        <w:t xml:space="preserve">.</w:t>
      </w:r>
    </w:p>
    <w:p>
      <w:pPr>
        <w:numPr>
          <w:ilvl w:val="0"/>
          <w:numId w:val="1001"/>
        </w:numPr>
        <w:pStyle w:val="Compact"/>
      </w:pPr>
      <w:r>
        <w:t xml:space="preserve">Any dispute arising from this</w:t>
      </w:r>
      <w:r>
        <w:t xml:space="preserve"> </w:t>
      </w:r>
      <w:r>
        <w:t xml:space="preserve">Purchase Order</w:t>
      </w:r>
      <w:r>
        <w:t xml:space="preserve"> </w:t>
      </w:r>
      <w:r>
        <w:t xml:space="preserve">shall be resolved through the Kuwait City commercial arbitration center in accordance with Kuwaiti commercial law. The governing law of this</w:t>
      </w:r>
      <w:r>
        <w:t xml:space="preserve"> </w:t>
      </w:r>
      <w:r>
        <w:t xml:space="preserve">Purchase Order</w:t>
      </w:r>
      <w:r>
        <w:t xml:space="preserve"> </w:t>
      </w:r>
      <w:r>
        <w:t xml:space="preserve">is the law of the State of Kuwait.</w:t>
      </w:r>
    </w:p>
    <w:p>
      <w:pPr>
        <w:numPr>
          <w:ilvl w:val="0"/>
          <w:numId w:val="1001"/>
        </w:numPr>
        <w:pStyle w:val="Compact"/>
      </w:pPr>
      <w:r>
        <w:t xml:space="preserve">This</w:t>
      </w:r>
      <w:r>
        <w:t xml:space="preserve"> </w:t>
      </w:r>
      <w:r>
        <w:t xml:space="preserve">Purchase Order</w:t>
      </w:r>
      <w:r>
        <w:t xml:space="preserve"> </w:t>
      </w:r>
      <w:r>
        <w:t xml:space="preserve">may not be assigned or subcontracted without the prior written consent of the Ministry of Education, Kuwait City. The supplier retains full responsibility for the quality and conduct of all</w:t>
      </w:r>
      <w:r>
        <w:t xml:space="preserve"> </w:t>
      </w:r>
      <w:r>
        <w:t xml:space="preserve">Teacher Secondary</w:t>
      </w:r>
      <w:r>
        <w:t xml:space="preserve"> </w:t>
      </w:r>
      <w:r>
        <w:t xml:space="preserve">personnel engaged under this agreement.</w:t>
      </w:r>
    </w:p>
    <w:p>
      <w:pPr>
        <w:numPr>
          <w:ilvl w:val="0"/>
          <w:numId w:val="1001"/>
        </w:numPr>
        <w:pStyle w:val="Compact"/>
      </w:pPr>
      <w:r>
        <w:t xml:space="preserve">All data and records related to</w:t>
      </w:r>
      <w:r>
        <w:t xml:space="preserve"> </w:t>
      </w:r>
      <w:r>
        <w:t xml:space="preserve">Teacher Secondary</w:t>
      </w:r>
      <w:r>
        <w:t xml:space="preserve"> </w:t>
      </w:r>
      <w:r>
        <w:t xml:space="preserve">personnel under this</w:t>
      </w:r>
      <w:r>
        <w:t xml:space="preserve"> </w:t>
      </w:r>
      <w:r>
        <w:t xml:space="preserve">Purchase Order</w:t>
      </w:r>
      <w:r>
        <w:t xml:space="preserve"> </w:t>
      </w:r>
      <w:r>
        <w:t xml:space="preserve">shall be maintained in compliance with Kuwaiti data protection regulations and stored at the Ministry of Education offices in Kuwait City.</w:t>
      </w:r>
    </w:p>
    <w:p>
      <w:pPr>
        <w:pStyle w:val="FirstParagraph"/>
      </w:pPr>
      <w:r>
        <w:t xml:space="preserve">AUTHORIZATION &amp; SIGNATURES</w:t>
      </w:r>
    </w:p>
    <w:p>
      <w:pPr>
        <w:pStyle w:val="BodyText"/>
      </w:pPr>
      <w:r>
        <w:rPr>
          <w:bCs/>
          <w:b/>
        </w:rPr>
        <w:t xml:space="preserve">Prepared By (Purchasing Entity):</w:t>
      </w:r>
      <w:r>
        <w:br/>
      </w:r>
      <w:r>
        <w:t xml:space="preserve">Dr. Ahmad Al-Sabah</w:t>
      </w:r>
      <w:r>
        <w:br/>
      </w:r>
      <w:r>
        <w:t xml:space="preserve">Director of Secondary Affairs</w:t>
      </w:r>
      <w:r>
        <w:br/>
      </w:r>
      <w:r>
        <w:t xml:space="preserve">Ministry of Education, Kuwait City</w:t>
      </w:r>
      <w:r>
        <w:br/>
      </w:r>
      <w:r>
        <w:t xml:space="preserve">Signature: _________________________</w:t>
      </w:r>
      <w:r>
        <w:br/>
      </w:r>
      <w:r>
        <w:t xml:space="preserve">Date: 15 June 2025</w:t>
      </w:r>
    </w:p>
    <w:p>
      <w:pPr>
        <w:pStyle w:val="BodyText"/>
      </w:pPr>
      <w:r>
        <w:rPr>
          <w:bCs/>
          <w:b/>
        </w:rPr>
        <w:t xml:space="preserve">Approved By (Purchasing Entity):</w:t>
      </w:r>
      <w:r>
        <w:br/>
      </w:r>
      <w:r>
        <w:t xml:space="preserve">H.E. Minister of Education</w:t>
      </w:r>
      <w:r>
        <w:br/>
      </w:r>
      <w:r>
        <w:t xml:space="preserve">Republic of Kuwait, Kuwait City</w:t>
      </w:r>
      <w:r>
        <w:br/>
      </w:r>
      <w:r>
        <w:t xml:space="preserve">Signature: _________________________</w:t>
      </w:r>
      <w:r>
        <w:br/>
      </w:r>
      <w:r>
        <w:t xml:space="preserve">Date: 15 June 2025</w:t>
      </w:r>
    </w:p>
    <w:p>
      <w:pPr>
        <w:pStyle w:val="BodyText"/>
      </w:pPr>
      <w:r>
        <w:rPr>
          <w:bCs/>
          <w:b/>
        </w:rPr>
        <w:t xml:space="preserve">Accepted By (Supplier):</w:t>
      </w:r>
      <w:r>
        <w:br/>
      </w:r>
      <w:r>
        <w:t xml:space="preserve">Mr. Khalid Al-Mutawa</w:t>
      </w:r>
      <w:r>
        <w:br/>
      </w:r>
      <w:r>
        <w:t xml:space="preserve">Managing Director</w:t>
      </w:r>
      <w:r>
        <w:br/>
      </w:r>
      <w:r>
        <w:t xml:space="preserve">Al-Nahda Educational Services Co. W.L.L.</w:t>
      </w:r>
      <w:r>
        <w:br/>
      </w:r>
      <w:r>
        <w:t xml:space="preserve">Kuwait City, Kuwait</w:t>
      </w:r>
      <w:r>
        <w:br/>
      </w:r>
      <w:r>
        <w:t xml:space="preserve">Signature: _________________________</w:t>
      </w:r>
      <w:r>
        <w:br/>
      </w:r>
      <w:r>
        <w:t xml:space="preserve">Date: 15 June 2025</w:t>
      </w:r>
    </w:p>
    <w:p>
      <w:pPr>
        <w:pStyle w:val="BodyText"/>
      </w:pPr>
      <w:r>
        <w:t xml:space="preserve">This Purchase Order (PO-KWT-2025-TC-0472) is an official document of the Ministry of Education, Republic of Kuwait, Kuwait City. It governs the procurement of Teacher Secondary personnel and associated services for the 2025/2026 academic year. Unauthorized reproduction or distribution of this Purchase Order is prohibited. For inquiries, contact the Secondary Education Division, Ministry of Education, Al-Salimiyah, Kuwait City, Kuwait. Tel: +965-2244-0000 | Email: secondary.division@moekw.gov.kw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Secondary - Kuwait Kuwait City</dc:title>
  <dc:creator/>
  <dc:language>en</dc:language>
  <cp:keywords/>
  <dcterms:created xsi:type="dcterms:W3CDTF">2026-10-10T04:20:40Z</dcterms:created>
  <dcterms:modified xsi:type="dcterms:W3CDTF">2026-10-10T04:20:40Z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