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KL-SEC-2025-04871</w:t>
      </w:r>
    </w:p>
    <w:p>
      <w:pPr>
        <w:pStyle w:val="BodyText"/>
      </w:pPr>
      <w:r>
        <w:rPr>
          <w:bCs/>
          <w:b/>
        </w:rPr>
        <w:t xml:space="preserve">Document Type:</w:t>
      </w:r>
      <w:r>
        <w:t xml:space="preserve"> </w:t>
      </w:r>
      <w:r>
        <w:t xml:space="preserve">Purchase Order for Teacher Secondary Educational Resources</w:t>
      </w:r>
    </w:p>
    <w:p>
      <w:pPr>
        <w:pStyle w:val="BodyText"/>
      </w:pPr>
      <w:r>
        <w:rPr>
          <w:bCs/>
          <w:b/>
        </w:rPr>
        <w:t xml:space="preserve">Location of Use:</w:t>
      </w:r>
      <w:r>
        <w:t xml:space="preserve"> </w:t>
      </w:r>
      <w:r>
        <w:t xml:space="preserve">Malaysia Kuala Lumpur</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bookmarkEnd w:id="20"/>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Authority)</w:t>
            </w:r>
          </w:p>
        </w:tc>
        <w:tc>
          <w:tcPr/>
          <w:p>
            <w:pPr>
              <w:pStyle w:val="Compact"/>
              <w:jc w:val="left"/>
            </w:pPr>
            <w:r>
              <w:t xml:space="preserve">Supplier (Vendor)</w:t>
            </w:r>
          </w:p>
        </w:tc>
      </w:tr>
      <w:tr>
        <w:tc>
          <w:tcPr/>
          <w:p>
            <w:pPr>
              <w:pStyle w:val="Compact"/>
              <w:jc w:val="left"/>
            </w:pPr>
            <w:r>
              <w:rPr>
                <w:bCs/>
                <w:b/>
              </w:rPr>
              <w:t xml:space="preserve">Department of Education, Malaysia Kuala Lumpur</w:t>
            </w:r>
            <w:r>
              <w:br/>
            </w:r>
            <w:r>
              <w:t xml:space="preserve">Secondary Education Division</w:t>
            </w:r>
            <w:r>
              <w:br/>
            </w:r>
            <w:r>
              <w:t xml:space="preserve">Ministry of Education Building, Level 12</w:t>
            </w:r>
            <w:r>
              <w:br/>
            </w:r>
            <w:r>
              <w:t xml:space="preserve">Jalan Duta, 50480 Kuala Lumpur, Malaysia</w:t>
            </w:r>
            <w:r>
              <w:br/>
            </w:r>
            <w:r>
              <w:t xml:space="preserve">Contact: procurement.sec@education.gov.my</w:t>
            </w:r>
            <w:r>
              <w:br/>
            </w:r>
            <w:r>
              <w:t xml:space="preserve">Tel: +603-2167 8000</w:t>
            </w:r>
            <w:r>
              <w:br/>
            </w:r>
            <w:r>
              <w:t xml:space="preserve">Reference: Teacher Secondary Programme – KL Region</w:t>
            </w:r>
          </w:p>
        </w:tc>
        <w:tc>
          <w:tcPr/>
          <w:p>
            <w:pPr>
              <w:pStyle w:val="Compact"/>
              <w:jc w:val="left"/>
            </w:pPr>
            <w:r>
              <w:rPr>
                <w:bCs/>
                <w:b/>
              </w:rPr>
              <w:t xml:space="preserve">EduSupply Malaysia Sdn. Bhd.</w:t>
            </w:r>
            <w:r>
              <w:br/>
            </w:r>
            <w:r>
              <w:t xml:space="preserve">Registration No: 201901234567</w:t>
            </w:r>
            <w:r>
              <w:br/>
            </w:r>
            <w:r>
              <w:t xml:space="preserve">No. 45, Jalan Ampang, 50450 Kuala Lumpur, Malaysia</w:t>
            </w:r>
            <w:r>
              <w:br/>
            </w:r>
            <w:r>
              <w:t xml:space="preserve">Contact: sales@edusupply.my</w:t>
            </w:r>
            <w:r>
              <w:br/>
            </w:r>
            <w:r>
              <w:t xml:space="preserve">Tel: +603-4257 6600</w:t>
            </w:r>
            <w:r>
              <w:br/>
            </w:r>
            <w:r>
              <w:t xml:space="preserve">SST Registration: 001234567890</w:t>
            </w:r>
          </w:p>
        </w:tc>
      </w:tr>
    </w:tbl>
    <w:p>
      <w:pPr>
        <w:pStyle w:val="BodyText"/>
      </w:pPr>
      <w:r>
        <w:t xml:space="preserve">2. PURPOSE AND SCOPE</w:t>
      </w:r>
    </w:p>
    <w:p>
      <w:pPr>
        <w:pStyle w:val="BodyText"/>
      </w:pPr>
      <w:r>
        <w:t xml:space="preserve">This Purchase Order is issued by the Department of Education, Malaysia Kuala Lumpur, to procure essential educational materials, classroom equipment, and professional development resources specifically designated for the</w:t>
      </w:r>
      <w:r>
        <w:t xml:space="preserve"> </w:t>
      </w:r>
      <w:r>
        <w:rPr>
          <w:bCs/>
          <w:b/>
        </w:rPr>
        <w:t xml:space="preserve">Teacher Secondary</w:t>
      </w:r>
      <w:r>
        <w:t xml:space="preserve"> </w:t>
      </w:r>
      <w:r>
        <w:t xml:space="preserve">programme. The Teacher Secondary initiative in Malaysia Kuala Lumpur is a government-funded programme aimed at enhancing the quality of secondary-level instruction across all public and private secondary schools within the Kuala Lumpur metropolitan area. All items listed in this Purchase Order shall be delivered to the designated Teacher Secondary training centres and secondary school campuses located throughout Malaysia Kuala Lumpur, including but not limited to the Klang Valley districts of Petaling Jaya, Subang Jaya, and Gombak.</w:t>
      </w:r>
    </w:p>
    <w:p>
      <w:pPr>
        <w:pStyle w:val="BodyText"/>
      </w:pPr>
      <w:r>
        <w:t xml:space="preserve">The Teacher Secondary programme encompasses approximately 3,200 secondary school teachers across 187 secondary schools in the Malaysia Kuala Lumpur region. The resources procured under this Purchase Order are intended to support curriculum delivery, teacher professional development workshops, classroom technology integration, and student assessment tools for the 2025/2026 academic year.</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Interactive Smart Board (86-inch) for Teacher Secondary training rooms</w:t>
            </w:r>
          </w:p>
        </w:tc>
        <w:tc>
          <w:tcPr/>
          <w:p>
            <w:pPr>
              <w:pStyle w:val="Compact"/>
              <w:jc w:val="left"/>
            </w:pPr>
            <w:r>
              <w:t xml:space="preserve">187 units</w:t>
            </w:r>
          </w:p>
        </w:tc>
        <w:tc>
          <w:tcPr/>
          <w:p>
            <w:pPr>
              <w:pStyle w:val="Compact"/>
              <w:jc w:val="left"/>
            </w:pPr>
            <w:r>
              <w:t xml:space="preserve">18,500.00</w:t>
            </w:r>
          </w:p>
        </w:tc>
        <w:tc>
          <w:tcPr/>
          <w:p>
            <w:pPr>
              <w:pStyle w:val="Compact"/>
              <w:jc w:val="left"/>
            </w:pPr>
            <w:r>
              <w:t xml:space="preserve">3,459,500.00</w:t>
            </w:r>
          </w:p>
        </w:tc>
        <w:tc>
          <w:tcPr/>
          <w:p>
            <w:pPr>
              <w:pStyle w:val="Compact"/>
              <w:jc w:val="left"/>
            </w:pPr>
            <w:r>
              <w:t xml:space="preserve">Secondary Schools, Malaysia Kuala Lumpur</w:t>
            </w:r>
          </w:p>
        </w:tc>
      </w:tr>
      <w:tr>
        <w:tc>
          <w:tcPr/>
          <w:p>
            <w:pPr>
              <w:pStyle w:val="Compact"/>
              <w:jc w:val="left"/>
            </w:pPr>
            <w:r>
              <w:t xml:space="preserve">2</w:t>
            </w:r>
          </w:p>
        </w:tc>
        <w:tc>
          <w:tcPr/>
          <w:p>
            <w:pPr>
              <w:pStyle w:val="Compact"/>
              <w:jc w:val="left"/>
            </w:pPr>
            <w:r>
              <w:t xml:space="preserve">Teacher Secondary Professional Development Kit (includes curriculum guides, assessment frameworks, and pedagogical resources for Form 1 to Form 6)</w:t>
            </w:r>
          </w:p>
        </w:tc>
        <w:tc>
          <w:tcPr/>
          <w:p>
            <w:pPr>
              <w:pStyle w:val="Compact"/>
              <w:jc w:val="left"/>
            </w:pPr>
            <w:r>
              <w:t xml:space="preserve">3,200 sets</w:t>
            </w:r>
          </w:p>
        </w:tc>
        <w:tc>
          <w:tcPr/>
          <w:p>
            <w:pPr>
              <w:pStyle w:val="Compact"/>
              <w:jc w:val="left"/>
            </w:pPr>
            <w:r>
              <w:t xml:space="preserve">450.00</w:t>
            </w:r>
          </w:p>
        </w:tc>
        <w:tc>
          <w:tcPr/>
          <w:p>
            <w:pPr>
              <w:pStyle w:val="Compact"/>
              <w:jc w:val="left"/>
            </w:pPr>
            <w:r>
              <w:t xml:space="preserve">1,440,000.00</w:t>
            </w:r>
          </w:p>
        </w:tc>
        <w:tc>
          <w:tcPr/>
          <w:p>
            <w:pPr>
              <w:pStyle w:val="Compact"/>
              <w:jc w:val="left"/>
            </w:pPr>
            <w:r>
              <w:t xml:space="preserve">Teacher Secondary Centres, KL</w:t>
            </w:r>
          </w:p>
        </w:tc>
      </w:tr>
      <w:tr>
        <w:tc>
          <w:tcPr/>
          <w:p>
            <w:pPr>
              <w:pStyle w:val="Compact"/>
              <w:jc w:val="left"/>
            </w:pPr>
            <w:r>
              <w:t xml:space="preserve">3</w:t>
            </w:r>
          </w:p>
        </w:tc>
        <w:tc>
          <w:tcPr/>
          <w:p>
            <w:pPr>
              <w:pStyle w:val="Compact"/>
              <w:jc w:val="left"/>
            </w:pPr>
            <w:r>
              <w:t xml:space="preserve">Student Assessment Software Licences (annual subscription) for Teacher Secondary evaluation modules</w:t>
            </w:r>
          </w:p>
        </w:tc>
        <w:tc>
          <w:tcPr/>
          <w:p>
            <w:pPr>
              <w:pStyle w:val="Compact"/>
              <w:jc w:val="left"/>
            </w:pPr>
            <w:r>
              <w:t xml:space="preserve">187 licences</w:t>
            </w:r>
          </w:p>
        </w:tc>
        <w:tc>
          <w:tcPr/>
          <w:p>
            <w:pPr>
              <w:pStyle w:val="Compact"/>
              <w:jc w:val="left"/>
            </w:pPr>
            <w:r>
              <w:t xml:space="preserve">12,000.00</w:t>
            </w:r>
          </w:p>
        </w:tc>
        <w:tc>
          <w:tcPr/>
          <w:p>
            <w:pPr>
              <w:pStyle w:val="Compact"/>
              <w:jc w:val="left"/>
            </w:pPr>
            <w:r>
              <w:t xml:space="preserve">2,244,000.00</w:t>
            </w:r>
          </w:p>
        </w:tc>
        <w:tc>
          <w:tcPr/>
          <w:p>
            <w:pPr>
              <w:pStyle w:val="Compact"/>
              <w:jc w:val="left"/>
            </w:pPr>
            <w:r>
              <w:t xml:space="preserve">IT Departments, Malaysia Kuala Lumpur</w:t>
            </w:r>
          </w:p>
        </w:tc>
      </w:tr>
      <w:tr>
        <w:tc>
          <w:tcPr/>
          <w:p>
            <w:pPr>
              <w:pStyle w:val="Compact"/>
              <w:jc w:val="left"/>
            </w:pPr>
            <w:r>
              <w:t xml:space="preserve">4</w:t>
            </w:r>
          </w:p>
        </w:tc>
        <w:tc>
          <w:tcPr/>
          <w:p>
            <w:pPr>
              <w:pStyle w:val="Compact"/>
              <w:jc w:val="left"/>
            </w:pPr>
            <w:r>
              <w:t xml:space="preserve">Ergonomic Teaching Desks and Chairs (set of 2) for Teacher Secondary demonstration classrooms</w:t>
            </w:r>
          </w:p>
        </w:tc>
        <w:tc>
          <w:tcPr/>
          <w:p>
            <w:pPr>
              <w:pStyle w:val="Compact"/>
              <w:jc w:val="left"/>
            </w:pPr>
            <w:r>
              <w:t xml:space="preserve">561 sets</w:t>
            </w:r>
          </w:p>
        </w:tc>
        <w:tc>
          <w:tcPr/>
          <w:p>
            <w:pPr>
              <w:pStyle w:val="Compact"/>
              <w:jc w:val="left"/>
            </w:pPr>
            <w:r>
              <w:t xml:space="preserve">2,800.00</w:t>
            </w:r>
          </w:p>
        </w:tc>
        <w:tc>
          <w:tcPr/>
          <w:p>
            <w:pPr>
              <w:pStyle w:val="Compact"/>
              <w:jc w:val="left"/>
            </w:pPr>
            <w:r>
              <w:t xml:space="preserve">1,570,800.00</w:t>
            </w:r>
          </w:p>
        </w:tc>
        <w:tc>
          <w:tcPr/>
          <w:p>
            <w:pPr>
              <w:pStyle w:val="Compact"/>
              <w:jc w:val="left"/>
            </w:pPr>
            <w:r>
              <w:t xml:space="preserve">Secondary Schools, Malaysia Kuala Lumpur</w:t>
            </w:r>
          </w:p>
        </w:tc>
      </w:tr>
      <w:tr>
        <w:tc>
          <w:tcPr/>
          <w:p>
            <w:pPr>
              <w:pStyle w:val="Compact"/>
              <w:jc w:val="left"/>
            </w:pPr>
            <w:r>
              <w:t xml:space="preserve">5</w:t>
            </w:r>
          </w:p>
        </w:tc>
        <w:tc>
          <w:tcPr/>
          <w:p>
            <w:pPr>
              <w:pStyle w:val="Compact"/>
              <w:jc w:val="left"/>
            </w:pPr>
            <w:r>
              <w:t xml:space="preserve">Science Laboratory Equipment Packages (Physics, Chemistry, Biology) for Teacher Secondary practical sessions</w:t>
            </w:r>
          </w:p>
        </w:tc>
        <w:tc>
          <w:tcPr/>
          <w:p>
            <w:pPr>
              <w:pStyle w:val="Compact"/>
              <w:jc w:val="left"/>
            </w:pPr>
            <w:r>
              <w:t xml:space="preserve">187 packages</w:t>
            </w:r>
          </w:p>
        </w:tc>
        <w:tc>
          <w:tcPr/>
          <w:p>
            <w:pPr>
              <w:pStyle w:val="Compact"/>
              <w:jc w:val="left"/>
            </w:pPr>
            <w:r>
              <w:t xml:space="preserve">35,000.00</w:t>
            </w:r>
          </w:p>
        </w:tc>
        <w:tc>
          <w:tcPr/>
          <w:p>
            <w:pPr>
              <w:pStyle w:val="Compact"/>
              <w:jc w:val="left"/>
            </w:pPr>
            <w:r>
              <w:t xml:space="preserve">6,545,000.00</w:t>
            </w:r>
          </w:p>
        </w:tc>
        <w:tc>
          <w:tcPr/>
          <w:p>
            <w:pPr>
              <w:pStyle w:val="Compact"/>
              <w:jc w:val="left"/>
            </w:pPr>
            <w:r>
              <w:t xml:space="preserve">Science Labs, KL Secondary Schools</w:t>
            </w:r>
          </w:p>
        </w:tc>
      </w:tr>
      <w:tr>
        <w:tc>
          <w:tcPr/>
          <w:p>
            <w:pPr>
              <w:pStyle w:val="Compact"/>
              <w:jc w:val="left"/>
            </w:pPr>
            <w:r>
              <w:t xml:space="preserve">6</w:t>
            </w:r>
          </w:p>
        </w:tc>
        <w:tc>
          <w:tcPr/>
          <w:p>
            <w:pPr>
              <w:pStyle w:val="Compact"/>
              <w:jc w:val="left"/>
            </w:pPr>
            <w:r>
              <w:t xml:space="preserve">Teacher Secondary Training Manuals (Bahasa Melayu and English editions) – 2025 Curriculum Update</w:t>
            </w:r>
          </w:p>
        </w:tc>
        <w:tc>
          <w:tcPr/>
          <w:p>
            <w:pPr>
              <w:pStyle w:val="Compact"/>
              <w:jc w:val="left"/>
            </w:pPr>
            <w:r>
              <w:t xml:space="preserve">6,400 copies</w:t>
            </w:r>
          </w:p>
        </w:tc>
        <w:tc>
          <w:tcPr/>
          <w:p>
            <w:pPr>
              <w:pStyle w:val="Compact"/>
              <w:jc w:val="left"/>
            </w:pPr>
            <w:r>
              <w:t xml:space="preserve">85.00</w:t>
            </w:r>
          </w:p>
        </w:tc>
        <w:tc>
          <w:tcPr/>
          <w:p>
            <w:pPr>
              <w:pStyle w:val="Compact"/>
              <w:jc w:val="left"/>
            </w:pPr>
            <w:r>
              <w:t xml:space="preserve">544,000.00</w:t>
            </w:r>
          </w:p>
        </w:tc>
        <w:tc>
          <w:tcPr/>
          <w:p>
            <w:pPr>
              <w:pStyle w:val="Compact"/>
              <w:jc w:val="left"/>
            </w:pPr>
            <w:r>
              <w:t xml:space="preserve">All Teacher Secondary Centres, KL</w:t>
            </w:r>
          </w:p>
        </w:tc>
      </w:tr>
      <w:tr>
        <w:tc>
          <w:tcPr/>
          <w:p>
            <w:pPr>
              <w:pStyle w:val="Compact"/>
              <w:jc w:val="left"/>
            </w:pPr>
            <w:r>
              <w:t xml:space="preserve">7</w:t>
            </w:r>
          </w:p>
        </w:tc>
        <w:tc>
          <w:tcPr/>
          <w:p>
            <w:pPr>
              <w:pStyle w:val="Compact"/>
              <w:jc w:val="left"/>
            </w:pPr>
            <w:r>
              <w:t xml:space="preserve">Portable Projectors (4K resolution) for Teacher Secondary mobile training units</w:t>
            </w:r>
          </w:p>
        </w:tc>
        <w:tc>
          <w:tcPr/>
          <w:p>
            <w:pPr>
              <w:pStyle w:val="Compact"/>
              <w:jc w:val="left"/>
            </w:pPr>
            <w:r>
              <w:t xml:space="preserve">94 units</w:t>
            </w:r>
          </w:p>
        </w:tc>
        <w:tc>
          <w:tcPr/>
          <w:p>
            <w:pPr>
              <w:pStyle w:val="Compact"/>
              <w:jc w:val="left"/>
            </w:pPr>
            <w:r>
              <w:t xml:space="preserve">6,200.00</w:t>
            </w:r>
          </w:p>
        </w:tc>
        <w:tc>
          <w:tcPr/>
          <w:p>
            <w:pPr>
              <w:pStyle w:val="Compact"/>
              <w:jc w:val="left"/>
            </w:pPr>
            <w:r>
              <w:t xml:space="preserve">582,800.00</w:t>
            </w:r>
          </w:p>
        </w:tc>
        <w:tc>
          <w:tcPr/>
          <w:p>
            <w:pPr>
              <w:pStyle w:val="Compact"/>
              <w:jc w:val="left"/>
            </w:pPr>
            <w:r>
              <w:t xml:space="preserve">Mobile Units, Malaysia Kuala Lumpur</w:t>
            </w:r>
          </w:p>
        </w:tc>
      </w:tr>
      <w:tr>
        <w:tc>
          <w:tcPr/>
          <w:p>
            <w:pPr>
              <w:pStyle w:val="Compact"/>
              <w:jc w:val="left"/>
            </w:pPr>
            <w:r>
              <w:t xml:space="preserve">8</w:t>
            </w:r>
          </w:p>
        </w:tc>
        <w:tc>
          <w:tcPr/>
          <w:p>
            <w:pPr>
              <w:pStyle w:val="Compact"/>
              <w:jc w:val="left"/>
            </w:pPr>
            <w:r>
              <w:t xml:space="preserve">Classroom Audio-Visual Systems (speakers, microphones, recording equipment) for Teacher Secondary lesson documentation</w:t>
            </w:r>
          </w:p>
        </w:tc>
        <w:tc>
          <w:tcPr/>
          <w:p>
            <w:pPr>
              <w:pStyle w:val="Compact"/>
              <w:jc w:val="left"/>
            </w:pPr>
            <w:r>
              <w:t xml:space="preserve">187 sets</w:t>
            </w:r>
          </w:p>
        </w:tc>
        <w:tc>
          <w:tcPr/>
          <w:p>
            <w:pPr>
              <w:pStyle w:val="Compact"/>
              <w:jc w:val="left"/>
            </w:pPr>
            <w:r>
              <w:t xml:space="preserve">4,500.00</w:t>
            </w:r>
          </w:p>
        </w:tc>
        <w:tc>
          <w:tcPr/>
          <w:p>
            <w:pPr>
              <w:pStyle w:val="Compact"/>
              <w:jc w:val="left"/>
            </w:pPr>
            <w:r>
              <w:t xml:space="preserve">841,500.00</w:t>
            </w:r>
          </w:p>
        </w:tc>
        <w:tc>
          <w:tcPr/>
          <w:p>
            <w:pPr>
              <w:pStyle w:val="Compact"/>
              <w:jc w:val="left"/>
            </w:pPr>
            <w:r>
              <w:t xml:space="preserve">Secondary Schools, Malaysia Kuala Lumpur</w:t>
            </w:r>
          </w:p>
        </w:tc>
      </w:tr>
      <w:tr>
        <w:tc>
          <w:tcPr>
            <w:gridSpan w:val="4"/>
          </w:tcPr>
          <w:p>
            <w:pPr>
              <w:pStyle w:val="Compact"/>
              <w:jc w:val="left"/>
            </w:pPr>
            <w:r>
              <w:rPr>
                <w:bCs/>
                <w:b/>
              </w:rPr>
              <w:t xml:space="preserve">Subtotal</w:t>
            </w:r>
          </w:p>
        </w:tc>
        <w:tc>
          <w:tcPr/>
          <w:p>
            <w:pPr>
              <w:pStyle w:val="Compact"/>
              <w:jc w:val="left"/>
            </w:pPr>
            <w:r>
              <w:rPr>
                <w:bCs/>
                <w:b/>
              </w:rPr>
              <w:t xml:space="preserve">17,227,600.00</w:t>
            </w:r>
          </w:p>
        </w:tc>
        <w:tc>
          <w:tcPr/>
          <w:p>
            <w:pPr>
              <w:pStyle w:val="Compact"/>
            </w:pPr>
          </w:p>
        </w:tc>
      </w:tr>
      <w:tr>
        <w:tc>
          <w:tcPr>
            <w:gridSpan w:val="4"/>
          </w:tcPr>
          <w:p>
            <w:pPr>
              <w:pStyle w:val="Compact"/>
              <w:jc w:val="left"/>
            </w:pPr>
            <w:r>
              <w:rPr>
                <w:bCs/>
                <w:b/>
              </w:rPr>
              <w:t xml:space="preserve">SST (Sales and Service Tax) @ 8%</w:t>
            </w:r>
          </w:p>
        </w:tc>
        <w:tc>
          <w:tcPr/>
          <w:p>
            <w:pPr>
              <w:pStyle w:val="Compact"/>
              <w:jc w:val="left"/>
            </w:pPr>
            <w:r>
              <w:rPr>
                <w:bCs/>
                <w:b/>
              </w:rPr>
              <w:t xml:space="preserve">1,378,208.00</w:t>
            </w:r>
          </w:p>
        </w:tc>
        <w:tc>
          <w:tcPr/>
          <w:p>
            <w:pPr>
              <w:pStyle w:val="Compact"/>
            </w:pPr>
          </w:p>
        </w:tc>
      </w:tr>
      <w:tr>
        <w:tc>
          <w:tcPr>
            <w:gridSpan w:val="4"/>
          </w:tcPr>
          <w:p>
            <w:pPr>
              <w:pStyle w:val="Compact"/>
              <w:jc w:val="left"/>
            </w:pPr>
            <w:r>
              <w:rPr>
                <w:bCs/>
                <w:b/>
              </w:rPr>
              <w:t xml:space="preserve">GRAND TOTAL (MYR)</w:t>
            </w:r>
          </w:p>
        </w:tc>
        <w:tc>
          <w:tcPr/>
          <w:p>
            <w:pPr>
              <w:pStyle w:val="Compact"/>
              <w:jc w:val="left"/>
            </w:pPr>
            <w:r>
              <w:rPr>
                <w:bCs/>
                <w:b/>
              </w:rPr>
              <w:t xml:space="preserve">18,605,808.00</w:t>
            </w:r>
          </w:p>
        </w:tc>
        <w:tc>
          <w:tcPr/>
          <w:p>
            <w:pPr>
              <w:pStyle w:val="Compact"/>
            </w:pP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within 30 days of receipt of a valid tax invoice from the supplier. Payment will be processed via bank transfer to the account designated by EduSupply Malaysia Sdn. Bhd. All transactions are subject to the financial regulations of the Malaysian government as outlined in the Financial Procedures and Rules 2017.</w:t>
      </w:r>
    </w:p>
    <w:p>
      <w:pPr>
        <w:numPr>
          <w:ilvl w:val="0"/>
          <w:numId w:val="1001"/>
        </w:numPr>
        <w:pStyle w:val="Compact"/>
      </w:pPr>
      <w:r>
        <w:rPr>
          <w:bCs/>
          <w:b/>
        </w:rPr>
        <w:t xml:space="preserve">Delivery:</w:t>
      </w:r>
      <w:r>
        <w:t xml:space="preserve"> </w:t>
      </w:r>
      <w:r>
        <w:t xml:space="preserve">All items under this Purchase Order must be delivered to the respective secondary school locations and Teacher Secondary training centres within Malaysia Kuala Lumpur no later than 30 July 2025. The supplier is responsible for all transportation, insurance, and installation costs within the Kuala Lumpur metropolitan area.</w:t>
      </w:r>
    </w:p>
    <w:p>
      <w:pPr>
        <w:numPr>
          <w:ilvl w:val="0"/>
          <w:numId w:val="1001"/>
        </w:numPr>
        <w:pStyle w:val="Compact"/>
      </w:pPr>
      <w:r>
        <w:rPr>
          <w:bCs/>
          <w:b/>
        </w:rPr>
        <w:t xml:space="preserve">Warranty:</w:t>
      </w:r>
      <w:r>
        <w:t xml:space="preserve"> </w:t>
      </w:r>
      <w:r>
        <w:t xml:space="preserve">All electronic equipment, including smart boards, projectors, and audio-visual systems, shall carry a minimum manufacturer warranty of three (3) years. Science laboratory equipment shall carry a warranty of two (2) years. The Teacher Secondary programme requires that all warranty claims be serviced within Kuala Lumpur within five (5) working days.</w:t>
      </w:r>
    </w:p>
    <w:p>
      <w:pPr>
        <w:numPr>
          <w:ilvl w:val="0"/>
          <w:numId w:val="1001"/>
        </w:numPr>
        <w:pStyle w:val="Compact"/>
      </w:pPr>
      <w:r>
        <w:rPr>
          <w:bCs/>
          <w:b/>
        </w:rPr>
        <w:t xml:space="preserve">Quality Standards:</w:t>
      </w:r>
      <w:r>
        <w:t xml:space="preserve"> </w:t>
      </w:r>
      <w:r>
        <w:t xml:space="preserve">All materials and equipment procured under this Purchase Order must comply with the Malaysian Standard (MS) specifications and the requirements set forth by the Department of Education, Malaysia Kuala Lumpur, for the Teacher Secondary programme. Printed materials must be produced in both Bahasa Melayu and English to meet the bilingual requirements of the Teacher Secondary curriculum.</w:t>
      </w:r>
    </w:p>
    <w:p>
      <w:pPr>
        <w:numPr>
          <w:ilvl w:val="0"/>
          <w:numId w:val="1001"/>
        </w:numPr>
        <w:pStyle w:val="Compact"/>
      </w:pPr>
      <w:r>
        <w:rPr>
          <w:bCs/>
          <w:b/>
        </w:rPr>
        <w:t xml:space="preserve">Acceptance:</w:t>
      </w:r>
      <w:r>
        <w:t xml:space="preserve"> </w:t>
      </w:r>
      <w:r>
        <w:t xml:space="preserve">A joint inspection team comprising representatives from the Department of Education, Malaysia Kuala Lumpur, and the designated Teacher Secondary programme coordinators shall inspect all delivered items within seven (7) working days of delivery. Items that do not meet the specifications outlined in this Purchase Order shall be rejected and replaced at the supplier's expense.</w:t>
      </w:r>
    </w:p>
    <w:p>
      <w:pPr>
        <w:numPr>
          <w:ilvl w:val="0"/>
          <w:numId w:val="1001"/>
        </w:numPr>
        <w:pStyle w:val="Compact"/>
      </w:pPr>
      <w:r>
        <w:rPr>
          <w:bCs/>
          <w:b/>
        </w:rPr>
        <w:t xml:space="preserve">Intellectual Property:</w:t>
      </w:r>
      <w:r>
        <w:t xml:space="preserve"> </w:t>
      </w:r>
      <w:r>
        <w:t xml:space="preserve">All Teacher Secondary training manuals, curriculum guides, and assessment frameworks procured under this Purchase Order shall be licensed exclusively for use within the Malaysia Kuala Lumpur secondary education system. Reproduction or distribution outside the designated Teacher Secondary programme is strictly prohibited.</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Malaysia. The competent courts of Kuala Lumpur, Malaysia, shall have exclusive jurisdiction over any legal proceedings related to this Purchase Order.</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government-imposed restrictions, or public health emergencies affecting the Malaysia Kuala Lumpur region.</w:t>
      </w:r>
    </w:p>
    <w:p>
      <w:pPr>
        <w:pStyle w:val="FirstParagraph"/>
      </w:pPr>
      <w:r>
        <w:t xml:space="preserve">5. AUTHORIZATION AND SIGNATURES</w:t>
      </w:r>
    </w:p>
    <w:p>
      <w:pPr>
        <w:pStyle w:val="BodyText"/>
      </w:pPr>
      <w:r>
        <w:rPr>
          <w:bCs/>
          <w:b/>
        </w:rPr>
        <w:t xml:space="preserve">For and on behalf of the Buyer:</w:t>
      </w:r>
    </w:p>
    <w:p>
      <w:pPr>
        <w:pStyle w:val="BodyText"/>
      </w:pPr>
      <w:r>
        <w:t xml:space="preserve">Department of Education, Malaysia Kuala Lumpur</w:t>
      </w:r>
    </w:p>
    <w:p>
      <w:pPr>
        <w:pStyle w:val="BodyText"/>
      </w:pPr>
      <w:r>
        <w:rPr>
          <w:bCs/>
          <w:b/>
        </w:rPr>
        <w:t xml:space="preserve">Name:</w:t>
      </w:r>
      <w:r>
        <w:t xml:space="preserve"> </w:t>
      </w:r>
      <w:r>
        <w:t xml:space="preserve">Dato' Sri Ahmad bin Ibrahim</w:t>
      </w:r>
      <w:r>
        <w:br/>
      </w:r>
      <w:r>
        <w:rPr>
          <w:bCs/>
          <w:b/>
        </w:rPr>
        <w:t xml:space="preserve">Title:</w:t>
      </w:r>
      <w:r>
        <w:t xml:space="preserve"> </w:t>
      </w:r>
      <w:r>
        <w:t xml:space="preserve">Director, Secondary Education Division</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EduSupply Malaysia Sdn. Bhd.</w:t>
      </w:r>
    </w:p>
    <w:p>
      <w:pPr>
        <w:pStyle w:val="BodyText"/>
      </w:pPr>
      <w:r>
        <w:rPr>
          <w:bCs/>
          <w:b/>
        </w:rPr>
        <w:t xml:space="preserve">Name:</w:t>
      </w:r>
      <w:r>
        <w:t xml:space="preserve"> </w:t>
      </w:r>
      <w:r>
        <w:t xml:space="preserve">Pn. Siti Nurhaliza binti Rahman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 No: KL-SEC-2025-04871) is an official document of the Department of Education, Malaysia Kuala Lumpur, issued for the Teacher Secondary programme. All references to Malaysia Kuala Lumpur pertain to the Federal Territory of Kuala Lumpur and its surrounding metropolitan districts. This document is valid for a period of ninety (90) days from the date of issue. Unauthorized reproduction or distribution of this Purchase Order is prohibited under Malaysian law.</w:t>
      </w:r>
    </w:p>
    <w:p>
      <w:pPr>
        <w:pStyle w:val="BodyText"/>
      </w:pPr>
      <w:r>
        <w:t xml:space="preserve">Document Reference: KL-SEC-2025-04871 | Teacher Secondary Programme | Malaysia Kuala Lumpur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Malaysia Kuala Lumpur</dc:title>
  <dc:creator/>
  <dc:language>en</dc:language>
  <cp:keywords/>
  <dcterms:created xsi:type="dcterms:W3CDTF">2026-10-10T07:01:47Z</dcterms:created>
  <dcterms:modified xsi:type="dcterms:W3CDTF">2026-10-10T07:01:47Z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