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Teacher Secondary Educational Procurement — Myanmar Yangon</w:t>
      </w:r>
    </w:p>
    <w:p>
      <w:pPr>
        <w:pStyle w:val="BodyText"/>
      </w:pPr>
      <w:r>
        <w:t xml:space="preserve">Yangon City Development Committee — Department of Education</w:t>
      </w:r>
    </w:p>
    <w:bookmarkEnd w:id="20"/>
    <w:p>
      <w:pPr>
        <w:pStyle w:val="BodyText"/>
      </w:pPr>
      <w:r>
        <w:rPr>
          <w:bCs/>
          <w:b/>
        </w:rPr>
        <w:t xml:space="preserve">Purchase Order No.:</w:t>
      </w:r>
      <w:r>
        <w:t xml:space="preserve"> </w:t>
      </w:r>
      <w:r>
        <w:t xml:space="preserve">PO-YGN-SEC-2025-0472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Currency:</w:t>
      </w:r>
      <w:r>
        <w:t xml:space="preserve"> </w:t>
      </w:r>
      <w:r>
        <w:t xml:space="preserve">Myanmar Kyat (MMK)</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(Purchasing Authority)</w:t>
            </w:r>
          </w:p>
        </w:tc>
        <w:tc>
          <w:tcPr/>
          <w:p>
            <w:pPr>
              <w:pStyle w:val="Compact"/>
              <w:jc w:val="left"/>
            </w:pPr>
            <w:r>
              <w:t xml:space="preserve">Yangon City Development Committee — Secondary Education Division</w:t>
            </w:r>
          </w:p>
        </w:tc>
        <w:tc>
          <w:tcPr/>
          <w:p>
            <w:pPr>
              <w:pStyle w:val="Compact"/>
              <w:jc w:val="left"/>
            </w:pPr>
            <w:r>
              <w:t xml:space="preserve">255, 27th Street, Kyauktada Township, Yangon, Myanmar</w:t>
            </w:r>
          </w:p>
        </w:tc>
      </w:tr>
      <w:tr>
        <w:tc>
          <w:tcPr/>
          <w:p>
            <w:pPr>
              <w:pStyle w:val="Compact"/>
              <w:jc w:val="left"/>
            </w:pPr>
            <w:r>
              <w:rPr>
                <w:bCs/>
                <w:b/>
              </w:rPr>
              <w:t xml:space="preserve">Supplier (Vendor)</w:t>
            </w:r>
          </w:p>
        </w:tc>
        <w:tc>
          <w:tcPr/>
          <w:p>
            <w:pPr>
              <w:pStyle w:val="Compact"/>
              <w:jc w:val="left"/>
            </w:pPr>
            <w:r>
              <w:t xml:space="preserve">Golden Pagoda Educational Supplies Co., Ltd.</w:t>
            </w:r>
          </w:p>
        </w:tc>
        <w:tc>
          <w:tcPr/>
          <w:p>
            <w:pPr>
              <w:pStyle w:val="Compact"/>
              <w:jc w:val="left"/>
            </w:pPr>
            <w:r>
              <w:t xml:space="preserve">88, Anawrahta Road, Insein Township, Yangon, Myanmar</w:t>
            </w:r>
          </w:p>
        </w:tc>
      </w:tr>
      <w:tr>
        <w:tc>
          <w:tcPr/>
          <w:p>
            <w:pPr>
              <w:pStyle w:val="Compact"/>
              <w:jc w:val="left"/>
            </w:pPr>
            <w:r>
              <w:rPr>
                <w:bCs/>
                <w:b/>
              </w:rPr>
              <w:t xml:space="preserve">Beneficiary Group</w:t>
            </w:r>
          </w:p>
        </w:tc>
        <w:tc>
          <w:tcPr/>
          <w:p>
            <w:pPr>
              <w:pStyle w:val="Compact"/>
              <w:jc w:val="left"/>
            </w:pPr>
            <w:r>
              <w:t xml:space="preserve">Teacher Secondary Staff — All Government Secondary Schools, Yangon Region</w:t>
            </w:r>
          </w:p>
        </w:tc>
        <w:tc>
          <w:tcPr/>
          <w:p>
            <w:pPr>
              <w:pStyle w:val="Compact"/>
              <w:jc w:val="left"/>
            </w:pPr>
            <w:r>
              <w:t xml:space="preserve">Distributed across 14 townships in Yangon, Myanmar</w:t>
            </w:r>
          </w:p>
        </w:tc>
      </w:tr>
    </w:tbl>
    <w:bookmarkEnd w:id="21"/>
    <w:bookmarkStart w:id="22"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Yangon City Development Committee to procure essential educational materials, professional development resources, and classroom equipment specifically designated for</w:t>
      </w:r>
      <w:r>
        <w:t xml:space="preserve"> </w:t>
      </w:r>
      <w:r>
        <w:t xml:space="preserve">Teacher Secondary</w:t>
      </w:r>
      <w:r>
        <w:t xml:space="preserve"> </w:t>
      </w:r>
      <w:r>
        <w:t xml:space="preserve">personnel operating within the public secondary school system of</w:t>
      </w:r>
      <w:r>
        <w:t xml:space="preserve"> </w:t>
      </w:r>
      <w:r>
        <w:t xml:space="preserve">Myanmar Yangon</w:t>
      </w:r>
      <w:r>
        <w:t xml:space="preserve">. The procurement supports the 2025–2026 academic year and is intended to enhance the teaching capacity, instructional quality, and professional well-being of all secondary-level educators serving approximately 42,000 students across 96 government secondary schools in the Yangon region.</w:t>
      </w:r>
    </w:p>
    <w:p>
      <w:pPr>
        <w:pStyle w:val="BodyText"/>
      </w:pPr>
      <w:r>
        <w:t xml:space="preserve">All items listed herein shall comply with the Myanmar National Education Standards for secondary-level instruction and must be delivered to the central distribution warehouse located in Kyauktada Township, Yangon, no later than the stated delivery deadline.</w:t>
      </w:r>
    </w:p>
    <w:bookmarkEnd w:id="22"/>
    <w:bookmarkStart w:id="23" w:name="itemized-purchase-details"/>
    <w:p>
      <w:pPr>
        <w:pStyle w:val="Heading2"/>
      </w:pPr>
      <w:r>
        <w:t xml:space="preserve">3.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Teacher Secondary Professional Development Handbook (English &amp; Burmese bilingual edition), 2025 curriculum-aligned</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Interactive Whiteboard (86-inch) for Teacher Secondary classroom instruction, with Myanmar-language software pre-installed</w:t>
            </w:r>
          </w:p>
        </w:tc>
        <w:tc>
          <w:tcPr/>
          <w:p>
            <w:pPr>
              <w:pStyle w:val="Compact"/>
              <w:jc w:val="left"/>
            </w:pPr>
            <w:r>
              <w:t xml:space="preserve">96</w:t>
            </w:r>
          </w:p>
        </w:tc>
        <w:tc>
          <w:tcPr/>
          <w:p>
            <w:pPr>
              <w:pStyle w:val="Compact"/>
              <w:jc w:val="left"/>
            </w:pPr>
            <w:r>
              <w:t xml:space="preserve">4,850,000</w:t>
            </w:r>
          </w:p>
        </w:tc>
        <w:tc>
          <w:tcPr/>
          <w:p>
            <w:pPr>
              <w:pStyle w:val="Compact"/>
              <w:jc w:val="left"/>
            </w:pPr>
            <w:r>
              <w:t xml:space="preserve">465,600,000</w:t>
            </w:r>
          </w:p>
        </w:tc>
      </w:tr>
      <w:tr>
        <w:tc>
          <w:tcPr/>
          <w:p>
            <w:pPr>
              <w:pStyle w:val="Compact"/>
              <w:jc w:val="left"/>
            </w:pPr>
            <w:r>
              <w:t xml:space="preserve">03</w:t>
            </w:r>
          </w:p>
        </w:tc>
        <w:tc>
          <w:tcPr/>
          <w:p>
            <w:pPr>
              <w:pStyle w:val="Compact"/>
              <w:jc w:val="left"/>
            </w:pPr>
            <w:r>
              <w:t xml:space="preserve">Teacher Secondary Lesson Planning Kit (includes curriculum guides, assessment templates, and subject-specific resource packs for Grades 7–12)</w:t>
            </w:r>
          </w:p>
        </w:tc>
        <w:tc>
          <w:tcPr/>
          <w:p>
            <w:pPr>
              <w:pStyle w:val="Compact"/>
              <w:jc w:val="left"/>
            </w:pPr>
            <w:r>
              <w:t xml:space="preserve">1,200</w:t>
            </w:r>
          </w:p>
        </w:tc>
        <w:tc>
          <w:tcPr/>
          <w:p>
            <w:pPr>
              <w:pStyle w:val="Compact"/>
              <w:jc w:val="left"/>
            </w:pPr>
            <w:r>
              <w:t xml:space="preserve">32,000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Ergonomic Teaching Desk and Chair Set for Teacher Secondary staff, Yangon-standard specification</w:t>
            </w:r>
          </w:p>
        </w:tc>
        <w:tc>
          <w:tcPr/>
          <w:p>
            <w:pPr>
              <w:pStyle w:val="Compact"/>
              <w:jc w:val="left"/>
            </w:pPr>
            <w:r>
              <w:t xml:space="preserve">1,200</w:t>
            </w:r>
          </w:p>
        </w:tc>
        <w:tc>
          <w:tcPr/>
          <w:p>
            <w:pPr>
              <w:pStyle w:val="Compact"/>
              <w:jc w:val="left"/>
            </w:pPr>
            <w:r>
              <w:t xml:space="preserve">285,000</w:t>
            </w:r>
          </w:p>
        </w:tc>
        <w:tc>
          <w:tcPr/>
          <w:p>
            <w:pPr>
              <w:pStyle w:val="Compact"/>
              <w:jc w:val="left"/>
            </w:pPr>
            <w:r>
              <w:t xml:space="preserve">342,000,000</w:t>
            </w:r>
          </w:p>
        </w:tc>
      </w:tr>
      <w:tr>
        <w:tc>
          <w:tcPr/>
          <w:p>
            <w:pPr>
              <w:pStyle w:val="Compact"/>
              <w:jc w:val="left"/>
            </w:pPr>
            <w:r>
              <w:t xml:space="preserve">05</w:t>
            </w:r>
          </w:p>
        </w:tc>
        <w:tc>
          <w:tcPr/>
          <w:p>
            <w:pPr>
              <w:pStyle w:val="Compact"/>
              <w:jc w:val="left"/>
            </w:pPr>
            <w:r>
              <w:t xml:space="preserve">Teacher Secondary Digital Literacy Training Program (12-week online course with Myanmar-language certification), per-teacher license</w:t>
            </w:r>
          </w:p>
        </w:tc>
        <w:tc>
          <w:tcPr/>
          <w:p>
            <w:pPr>
              <w:pStyle w:val="Compact"/>
              <w:jc w:val="left"/>
            </w:pPr>
            <w:r>
              <w:t xml:space="preserve">1,200</w:t>
            </w:r>
          </w:p>
        </w:tc>
        <w:tc>
          <w:tcPr/>
          <w:p>
            <w:pPr>
              <w:pStyle w:val="Compact"/>
              <w:jc w:val="left"/>
            </w:pPr>
            <w:r>
              <w:t xml:space="preserve">95,000</w:t>
            </w:r>
          </w:p>
        </w:tc>
        <w:tc>
          <w:tcPr/>
          <w:p>
            <w:pPr>
              <w:pStyle w:val="Compact"/>
              <w:jc w:val="left"/>
            </w:pPr>
            <w:r>
              <w:t xml:space="preserve">114,000,000</w:t>
            </w:r>
          </w:p>
        </w:tc>
      </w:tr>
      <w:tr>
        <w:tc>
          <w:tcPr/>
          <w:p>
            <w:pPr>
              <w:pStyle w:val="Compact"/>
              <w:jc w:val="left"/>
            </w:pPr>
            <w:r>
              <w:t xml:space="preserve">06</w:t>
            </w:r>
          </w:p>
        </w:tc>
        <w:tc>
          <w:tcPr/>
          <w:p>
            <w:pPr>
              <w:pStyle w:val="Compact"/>
              <w:jc w:val="left"/>
            </w:pPr>
            <w:r>
              <w:t xml:space="preserve">Classroom Projector (3,600 lumens) with Myanmar-language remote control, for Teacher Secondary multimedia instruction</w:t>
            </w:r>
          </w:p>
        </w:tc>
        <w:tc>
          <w:tcPr/>
          <w:p>
            <w:pPr>
              <w:pStyle w:val="Compact"/>
              <w:jc w:val="left"/>
            </w:pPr>
            <w:r>
              <w:t xml:space="preserve">96</w:t>
            </w:r>
          </w:p>
        </w:tc>
        <w:tc>
          <w:tcPr/>
          <w:p>
            <w:pPr>
              <w:pStyle w:val="Compact"/>
              <w:jc w:val="left"/>
            </w:pPr>
            <w:r>
              <w:t xml:space="preserve">1,250,000</w:t>
            </w:r>
          </w:p>
        </w:tc>
        <w:tc>
          <w:tcPr/>
          <w:p>
            <w:pPr>
              <w:pStyle w:val="Compact"/>
              <w:jc w:val="left"/>
            </w:pPr>
            <w:r>
              <w:t xml:space="preserve">120,000,000</w:t>
            </w:r>
          </w:p>
        </w:tc>
      </w:tr>
      <w:tr>
        <w:tc>
          <w:tcPr/>
          <w:p>
            <w:pPr>
              <w:pStyle w:val="Compact"/>
              <w:jc w:val="left"/>
            </w:pPr>
            <w:r>
              <w:t xml:space="preserve">07</w:t>
            </w:r>
          </w:p>
        </w:tc>
        <w:tc>
          <w:tcPr/>
          <w:p>
            <w:pPr>
              <w:pStyle w:val="Compact"/>
              <w:jc w:val="left"/>
            </w:pPr>
            <w:r>
              <w:t xml:space="preserve">Teacher Secondary Annual Wellness and Mental Health Support Package (counseling sessions, stress-management workshops, and health screening)</w:t>
            </w:r>
          </w:p>
        </w:tc>
        <w:tc>
          <w:tcPr/>
          <w:p>
            <w:pPr>
              <w:pStyle w:val="Compact"/>
              <w:jc w:val="left"/>
            </w:pPr>
            <w:r>
              <w:t xml:space="preserve">1,200</w:t>
            </w:r>
          </w:p>
        </w:tc>
        <w:tc>
          <w:tcPr/>
          <w:p>
            <w:pPr>
              <w:pStyle w:val="Compact"/>
              <w:jc w:val="left"/>
            </w:pPr>
            <w:r>
              <w:t xml:space="preserve">150,000</w:t>
            </w:r>
          </w:p>
        </w:tc>
        <w:tc>
          <w:tcPr/>
          <w:p>
            <w:pPr>
              <w:pStyle w:val="Compact"/>
              <w:jc w:val="left"/>
            </w:pPr>
            <w:r>
              <w:t xml:space="preserve">180,000,000</w:t>
            </w:r>
          </w:p>
        </w:tc>
      </w:tr>
      <w:tr>
        <w:tc>
          <w:tcPr/>
          <w:p>
            <w:pPr>
              <w:pStyle w:val="Compact"/>
              <w:jc w:val="left"/>
            </w:pPr>
            <w:r>
              <w:t xml:space="preserve">08</w:t>
            </w:r>
          </w:p>
        </w:tc>
        <w:tc>
          <w:tcPr/>
          <w:p>
            <w:pPr>
              <w:pStyle w:val="Compact"/>
              <w:jc w:val="left"/>
            </w:pPr>
            <w:r>
              <w:t xml:space="preserve">Subject-Specific Laboratory Equipment Sets (Physics, Chemistry, Biology) for Teacher Secondary science instruction, Myanmar curriculum standard</w:t>
            </w:r>
          </w:p>
        </w:tc>
        <w:tc>
          <w:tcPr/>
          <w:p>
            <w:pPr>
              <w:pStyle w:val="Compact"/>
              <w:jc w:val="left"/>
            </w:pPr>
            <w:r>
              <w:t xml:space="preserve">96</w:t>
            </w:r>
          </w:p>
        </w:tc>
        <w:tc>
          <w:tcPr/>
          <w:p>
            <w:pPr>
              <w:pStyle w:val="Compact"/>
              <w:jc w:val="left"/>
            </w:pPr>
            <w:r>
              <w:t xml:space="preserve">2,100,000</w:t>
            </w:r>
          </w:p>
        </w:tc>
        <w:tc>
          <w:tcPr/>
          <w:p>
            <w:pPr>
              <w:pStyle w:val="Compact"/>
              <w:jc w:val="left"/>
            </w:pPr>
            <w:r>
              <w:t xml:space="preserve">201,600,000</w:t>
            </w:r>
          </w:p>
        </w:tc>
      </w:tr>
      <w:tr>
        <w:tc>
          <w:tcPr>
            <w:gridSpan w:val="4"/>
          </w:tcPr>
          <w:p>
            <w:pPr>
              <w:pStyle w:val="Compact"/>
              <w:jc w:val="right"/>
            </w:pPr>
            <w:r>
              <w:t xml:space="preserve">GRAND TOTAL (MMK)</w:t>
            </w:r>
          </w:p>
        </w:tc>
        <w:tc>
          <w:tcPr/>
          <w:p>
            <w:pPr>
              <w:pStyle w:val="Compact"/>
              <w:jc w:val="left"/>
            </w:pPr>
            <w:r>
              <w:t xml:space="preserve">1,483,800,000</w:t>
            </w:r>
          </w:p>
        </w:tc>
      </w:tr>
    </w:tbl>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to the supplier's designated account at CB Bank, Yangon Branch, Myanmar.</w:t>
      </w:r>
    </w:p>
    <w:p>
      <w:pPr>
        <w:numPr>
          <w:ilvl w:val="0"/>
          <w:numId w:val="1001"/>
        </w:numPr>
        <w:pStyle w:val="Compact"/>
      </w:pPr>
      <w:r>
        <w:rPr>
          <w:bCs/>
          <w:b/>
        </w:rPr>
        <w:t xml:space="preserve">Payment Schedule:</w:t>
      </w:r>
      <w:r>
        <w:t xml:space="preserve"> </w:t>
      </w:r>
      <w:r>
        <w:t xml:space="preserve">30% advance payment upon Purchase Order acceptance; 50% upon delivery and inspection at the Kyauktada central warehouse; 20% final payment upon successful deployment to all 96 secondary schools in Yangon and written confirmation from the Teacher Secondary coordination office.</w:t>
      </w:r>
    </w:p>
    <w:p>
      <w:pPr>
        <w:numPr>
          <w:ilvl w:val="0"/>
          <w:numId w:val="1001"/>
        </w:numPr>
        <w:pStyle w:val="Compact"/>
      </w:pPr>
      <w:r>
        <w:rPr>
          <w:bCs/>
          <w:b/>
        </w:rPr>
        <w:t xml:space="preserve">Payment Window:</w:t>
      </w:r>
      <w:r>
        <w:t xml:space="preserve"> </w:t>
      </w:r>
      <w:r>
        <w:t xml:space="preserve">All invoices shall be settled within 30 calendar days of receipt of a valid invoice and delivery confirmation.</w:t>
      </w:r>
    </w:p>
    <w:p>
      <w:pPr>
        <w:numPr>
          <w:ilvl w:val="0"/>
          <w:numId w:val="1001"/>
        </w:numPr>
        <w:pStyle w:val="Compact"/>
      </w:pPr>
      <w:r>
        <w:rPr>
          <w:bCs/>
          <w:b/>
        </w:rPr>
        <w:t xml:space="preserve">Tax and Duties:</w:t>
      </w:r>
      <w:r>
        <w:t xml:space="preserve"> </w:t>
      </w:r>
      <w:r>
        <w:t xml:space="preserve">All applicable Myanmar Value Added Tax (VAT) at 5% and any local municipal levies imposed by the Yangon City Development Committee shall be included in the unit prices stated above.</w:t>
      </w:r>
    </w:p>
    <w:bookmarkEnd w:id="24"/>
    <w:bookmarkStart w:id="25" w:name="delivery-and-acceptance"/>
    <w:p>
      <w:pPr>
        <w:pStyle w:val="Heading2"/>
      </w:pPr>
      <w:r>
        <w:t xml:space="preserve">5. Delivery and Acceptance</w:t>
      </w:r>
    </w:p>
    <w:p>
      <w:pPr>
        <w:numPr>
          <w:ilvl w:val="0"/>
          <w:numId w:val="1002"/>
        </w:numPr>
        <w:pStyle w:val="Compact"/>
      </w:pPr>
      <w:r>
        <w:t xml:space="preserve">All goods shall be delivered to the Yangon City Development Committee central warehouse, 255, 27th Street, Kyauktada Township, Yangon, Myanmar, between 08:00 and 16:00 Myanmar Standard Time (MST, UTC+06:30).</w:t>
      </w:r>
    </w:p>
    <w:p>
      <w:pPr>
        <w:numPr>
          <w:ilvl w:val="0"/>
          <w:numId w:val="1002"/>
        </w:numPr>
        <w:pStyle w:val="Compact"/>
      </w:pPr>
      <w:r>
        <w:t xml:space="preserve">The supplier shall provide a detailed packing list and certificate of origin for each shipment. All electronic equipment must carry a minimum 24-month warranty valid within Myanmar.</w:t>
      </w:r>
    </w:p>
    <w:p>
      <w:pPr>
        <w:numPr>
          <w:ilvl w:val="0"/>
          <w:numId w:val="1002"/>
        </w:numPr>
        <w:pStyle w:val="Compact"/>
      </w:pPr>
      <w:r>
        <w:t xml:space="preserve">A joint inspection team comprising representatives from the Secondary Education Division and the Teacher Secondary staff association shall conduct acceptance testing within 5 business days of delivery. Rejected items must be replaced or repaired at the supplier's sole expense within 10 business days.</w:t>
      </w:r>
    </w:p>
    <w:p>
      <w:pPr>
        <w:numPr>
          <w:ilvl w:val="0"/>
          <w:numId w:val="1002"/>
        </w:numPr>
        <w:pStyle w:val="Compact"/>
      </w:pPr>
      <w:r>
        <w:t xml:space="preserve">Delivery of the Digital Literacy Training Program (Item 05) shall be completed by 15 August 2025, with all 1,200 Teacher Secondary participants enrolled and active on the platform.</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Republic of the Union of Myanmar and the Yangon City Development Committee Procurement Regulations (2024 revision).</w:t>
      </w:r>
    </w:p>
    <w:p>
      <w:pPr>
        <w:numPr>
          <w:ilvl w:val="0"/>
          <w:numId w:val="1003"/>
        </w:numPr>
        <w:pStyle w:val="Compact"/>
      </w:pPr>
      <w:r>
        <w:t xml:space="preserve">The supplier warrants that all materials are new, unused, and free from defects. Any intellectual property contained in the Teacher Secondary handbooks and digital content is fully licensed for educational use within Myanmar.</w:t>
      </w:r>
    </w:p>
    <w:p>
      <w:pPr>
        <w:numPr>
          <w:ilvl w:val="0"/>
          <w:numId w:val="1003"/>
        </w:numPr>
        <w:pStyle w:val="Compact"/>
      </w:pPr>
      <w:r>
        <w:t xml:space="preserve">Failure to meet the delivery deadline shall incur a penalty of 0.5% of the total Purchase Order value per calendar day of delay, capped at 10% of the total value.</w:t>
      </w:r>
    </w:p>
    <w:p>
      <w:pPr>
        <w:numPr>
          <w:ilvl w:val="0"/>
          <w:numId w:val="1003"/>
        </w:numPr>
        <w:pStyle w:val="Compact"/>
      </w:pPr>
      <w:r>
        <w:t xml:space="preserve">The supplier shall maintain a dedicated after-sales support office in Yangon, Myanmar, for the duration of the warranty period, with response times not exceeding 48 hours for hardware issues affecting Teacher Secondary classrooms.</w:t>
      </w:r>
    </w:p>
    <w:p>
      <w:pPr>
        <w:numPr>
          <w:ilvl w:val="0"/>
          <w:numId w:val="1003"/>
        </w:numPr>
        <w:pStyle w:val="Compact"/>
      </w:pPr>
      <w:r>
        <w:t xml:space="preserve">Any disputes arising from this Purchase Order shall be resolved through the Yangon City Arbitration Centre before resorting to litigation in the Yangon District Court.</w:t>
      </w:r>
    </w:p>
    <w:p>
      <w:pPr>
        <w:numPr>
          <w:ilvl w:val="0"/>
          <w:numId w:val="1003"/>
        </w:numPr>
        <w:pStyle w:val="Compact"/>
      </w:pPr>
      <w:r>
        <w:t xml:space="preserve">This Purchase Order may not be assigned or subcontracted without prior written consent from the Yangon City Development Committee Secondary Education Division.</w:t>
      </w:r>
    </w:p>
    <w:bookmarkEnd w:id="26"/>
    <w:bookmarkStart w:id="27" w:name="authorisation-and-signatures"/>
    <w:p>
      <w:pPr>
        <w:pStyle w:val="Heading2"/>
      </w:pPr>
      <w:r>
        <w:t xml:space="preserve">7. Authorisation and Signatures</w:t>
      </w:r>
    </w:p>
    <w:p>
      <w:pPr>
        <w:pStyle w:val="FirstParagraph"/>
      </w:pPr>
      <w:r>
        <w:t xml:space="preserve">By signing below, both parties acknowledge and agree to all terms, conditions, and specifications outlined in this Purchase Order for the procurement of Teacher Secondary educational resources in Myanmar Yangon. This document constitutes a binding agreement effective from the date of the last signature.</w:t>
      </w:r>
    </w:p>
    <w:p>
      <w:pPr>
        <w:pStyle w:val="BodyText"/>
      </w:pPr>
      <w:r>
        <w:rPr>
          <w:bCs/>
          <w:b/>
        </w:rPr>
        <w:t xml:space="preserve">For the Buyer</w:t>
      </w:r>
      <w:r>
        <w:br/>
      </w:r>
      <w:r>
        <w:t xml:space="preserve">Director, Secondary Education Division</w:t>
      </w:r>
      <w:r>
        <w:br/>
      </w:r>
      <w:r>
        <w:t xml:space="preserve">Yangon City Development Committee</w:t>
      </w:r>
      <w:r>
        <w:br/>
      </w:r>
      <w:r>
        <w:t xml:space="preserve">Yangon, Myanmar</w:t>
      </w:r>
    </w:p>
    <w:p>
      <w:pPr>
        <w:pStyle w:val="BodyText"/>
      </w:pPr>
      <w:r>
        <w:rPr>
          <w:bCs/>
          <w:b/>
        </w:rPr>
        <w:t xml:space="preserve">For the Supplier</w:t>
      </w:r>
      <w:r>
        <w:br/>
      </w:r>
      <w:r>
        <w:t xml:space="preserve">Managing Director</w:t>
      </w:r>
      <w:r>
        <w:br/>
      </w:r>
      <w:r>
        <w:t xml:space="preserve">Golden Pagoda Educational Supplies Co., Ltd.</w:t>
      </w:r>
      <w:r>
        <w:br/>
      </w:r>
      <w:r>
        <w:t xml:space="preserve">Yangon, Myanmar</w:t>
      </w:r>
    </w:p>
    <w:p>
      <w:pPr>
        <w:pStyle w:val="BodyText"/>
      </w:pPr>
      <w:r>
        <w:rPr>
          <w:bCs/>
          <w:b/>
        </w:rPr>
        <w:t xml:space="preserve">Witness / Observer</w:t>
      </w:r>
      <w:r>
        <w:br/>
      </w:r>
      <w:r>
        <w:t xml:space="preserve">Teacher Secondary Staff Association</w:t>
      </w:r>
      <w:r>
        <w:br/>
      </w:r>
      <w:r>
        <w:t xml:space="preserve">Yangon Region Representative</w:t>
      </w:r>
      <w:r>
        <w:br/>
      </w:r>
      <w:r>
        <w:t xml:space="preserve">Yangon, Myanmar</w:t>
      </w:r>
    </w:p>
    <w:p>
      <w:pPr>
        <w:pStyle w:val="BodyText"/>
      </w:pPr>
      <w:r>
        <w:t xml:space="preserve">Purchase Order No. PO-YGN-SEC-2025-0472 — Issued by the Yangon City Development Committee, Secondary Education Division, Myanmar Yangon.</w:t>
      </w:r>
      <w:r>
        <w:br/>
      </w:r>
      <w:r>
        <w:t xml:space="preserve">This document is intended for the exclusive use of Teacher Secondary personnel and authorized procurement officers. Unauthorized reproduction or distribution is prohibited under Myanmar copyright law.</w:t>
      </w:r>
      <w:r>
        <w:br/>
      </w:r>
      <w:r>
        <w:t xml:space="preserve">Document Version: 1.0  |  Classification: Official — Internal Use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Myanmar Yangon</dc:title>
  <dc:creator/>
  <dc:language>en</dc:language>
  <cp:keywords/>
  <dcterms:created xsi:type="dcterms:W3CDTF">2026-10-10T02:41:25Z</dcterms:created>
  <dcterms:modified xsi:type="dcterms:W3CDTF">2026-10-10T02:41:25Z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